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i w:val="0"/>
        </w:rPr>
      </w:pPr>
      <w:r w:rsidDel="00000000" w:rsidR="00000000" w:rsidRPr="00000000">
        <w:rPr>
          <w:rtl w:val="0"/>
        </w:rPr>
      </w:r>
    </w:p>
    <w:p w:rsidR="00000000" w:rsidDel="00000000" w:rsidP="00000000" w:rsidRDefault="00000000" w:rsidRPr="00000000" w14:paraId="00000002">
      <w:pPr>
        <w:rPr>
          <w:b w:val="1"/>
          <w:i w:val="0"/>
        </w:rPr>
      </w:pPr>
      <w:r w:rsidDel="00000000" w:rsidR="00000000" w:rsidRPr="00000000">
        <w:rPr>
          <w:b w:val="1"/>
          <w:i w:val="0"/>
          <w:rtl w:val="0"/>
        </w:rPr>
        <w:t xml:space="preserve">Background, Application Requirements and Process </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tbl>
      <w:tblPr>
        <w:tblStyle w:val="Table1"/>
        <w:tblW w:w="9364.0" w:type="dxa"/>
        <w:jc w:val="left"/>
        <w:tblInd w:w="-143.0" w:type="dxa"/>
        <w:tblBorders>
          <w:top w:color="bdd7ee" w:space="0" w:sz="6" w:val="single"/>
          <w:left w:color="bdd7ee" w:space="0" w:sz="6" w:val="single"/>
          <w:bottom w:color="bdd7ee" w:space="0" w:sz="6" w:val="single"/>
          <w:right w:color="bdd7ee" w:space="0" w:sz="6" w:val="single"/>
          <w:insideH w:color="bdd7ee" w:space="0" w:sz="6" w:val="single"/>
          <w:insideV w:color="bdd7ee" w:space="0" w:sz="6" w:val="single"/>
        </w:tblBorders>
        <w:tblLayout w:type="fixed"/>
        <w:tblLook w:val="0400"/>
      </w:tblPr>
      <w:tblGrid>
        <w:gridCol w:w="1845"/>
        <w:gridCol w:w="7519"/>
        <w:tblGridChange w:id="0">
          <w:tblGrid>
            <w:gridCol w:w="1845"/>
            <w:gridCol w:w="7519"/>
          </w:tblGrid>
        </w:tblGridChange>
      </w:tblGrid>
      <w:tr>
        <w:trPr>
          <w:cantSplit w:val="0"/>
          <w:tblHeader w:val="0"/>
        </w:trPr>
        <w:tc>
          <w:tcPr>
            <w:gridSpan w:val="2"/>
            <w:shd w:fill="002060" w:val="clear"/>
          </w:tcPr>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ffff"/>
                <w:sz w:val="24"/>
                <w:szCs w:val="24"/>
                <w:rtl w:val="0"/>
              </w:rPr>
              <w:t xml:space="preserve">Section 1: Background</w:t>
            </w: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00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 UNFPA mandate</w:t>
            </w:r>
          </w:p>
        </w:tc>
        <w:tc>
          <w:tcPr>
            <w:tcBorders>
              <w:left w:color="bdd7ee" w:space="0" w:sz="6" w:val="single"/>
            </w:tcBorders>
          </w:tcPr>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UNFPA is the UN Sexual and Reproductive Health agency, delivering a world where every pregnancy is wanted, every birth is safe, and every young person's potential is fulfilled.</w:t>
            </w:r>
          </w:p>
        </w:tc>
      </w:tr>
      <w:tr>
        <w:trPr>
          <w:cantSplit w:val="0"/>
          <w:trHeight w:val="20" w:hRule="atLeast"/>
          <w:tblHeader w:val="0"/>
        </w:trPr>
        <w:tc>
          <w:tcPr>
            <w:tcBorders>
              <w:right w:color="bdd7ee" w:space="0" w:sz="6" w:val="single"/>
            </w:tcBorders>
            <w:shd w:fill="d9d9d9" w:val="clear"/>
          </w:tcPr>
          <w:p w:rsidR="00000000" w:rsidDel="00000000" w:rsidP="00000000" w:rsidRDefault="00000000" w:rsidRPr="00000000" w14:paraId="00000008">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1.2 UNFPA Programme of Assistance in  </w:t>
            </w:r>
            <w:r w:rsidDel="00000000" w:rsidR="00000000" w:rsidRPr="00000000">
              <w:rPr>
                <w:rFonts w:ascii="Times New Roman" w:cs="Times New Roman" w:eastAsia="Times New Roman" w:hAnsi="Times New Roman"/>
                <w:sz w:val="22"/>
                <w:szCs w:val="22"/>
                <w:highlight w:val="lightGray"/>
                <w:rtl w:val="0"/>
              </w:rPr>
              <w:t xml:space="preserve">Turkey</w:t>
            </w:r>
            <w:r w:rsidDel="00000000" w:rsidR="00000000" w:rsidRPr="00000000">
              <w:rPr>
                <w:rtl w:val="0"/>
              </w:rPr>
            </w:r>
          </w:p>
        </w:tc>
        <w:tc>
          <w:tcPr>
            <w:tcBorders>
              <w:left w:color="bdd7ee" w:space="0" w:sz="6" w:val="single"/>
            </w:tcBorders>
          </w:tcPr>
          <w:p w:rsidR="00000000" w:rsidDel="00000000" w:rsidP="00000000" w:rsidRDefault="00000000" w:rsidRPr="00000000" w14:paraId="0000000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w:t>
            </w:r>
            <w:r w:rsidDel="00000000" w:rsidR="00000000" w:rsidRPr="00000000">
              <w:rPr>
                <w:rFonts w:ascii="Times New Roman" w:cs="Times New Roman" w:eastAsia="Times New Roman" w:hAnsi="Times New Roman"/>
                <w:b w:val="1"/>
                <w:color w:val="000000"/>
                <w:sz w:val="24"/>
                <w:szCs w:val="24"/>
                <w:rtl w:val="0"/>
              </w:rPr>
              <w:t xml:space="preserve">n Turkey, UNFPA works with the government and other partners </w:t>
            </w:r>
            <w:r w:rsidDel="00000000" w:rsidR="00000000" w:rsidRPr="00000000">
              <w:rPr>
                <w:rFonts w:ascii="Times New Roman" w:cs="Times New Roman" w:eastAsia="Times New Roman" w:hAnsi="Times New Roman"/>
                <w:b w:val="1"/>
                <w:sz w:val="24"/>
                <w:szCs w:val="24"/>
                <w:rtl w:val="0"/>
              </w:rPr>
              <w:t xml:space="preserve">to achieve the overall</w:t>
            </w:r>
            <w:r w:rsidDel="00000000" w:rsidR="00000000" w:rsidRPr="00000000">
              <w:rPr>
                <w:rFonts w:ascii="Times New Roman" w:cs="Times New Roman" w:eastAsia="Times New Roman" w:hAnsi="Times New Roman"/>
                <w:b w:val="1"/>
                <w:color w:val="000000"/>
                <w:sz w:val="24"/>
                <w:szCs w:val="24"/>
                <w:rtl w:val="0"/>
              </w:rPr>
              <w:t xml:space="preserve"> goal of the 2021-2025 7th </w:t>
            </w:r>
            <w:r w:rsidDel="00000000" w:rsidR="00000000" w:rsidRPr="00000000">
              <w:rPr>
                <w:rFonts w:ascii="Times New Roman" w:cs="Times New Roman" w:eastAsia="Times New Roman" w:hAnsi="Times New Roman"/>
                <w:b w:val="1"/>
                <w:sz w:val="24"/>
                <w:szCs w:val="24"/>
                <w:rtl w:val="0"/>
              </w:rPr>
              <w:t xml:space="preserve">Country</w:t>
            </w:r>
            <w:r w:rsidDel="00000000" w:rsidR="00000000" w:rsidRPr="00000000">
              <w:rPr>
                <w:rFonts w:ascii="Times New Roman" w:cs="Times New Roman" w:eastAsia="Times New Roman" w:hAnsi="Times New Roman"/>
                <w:b w:val="1"/>
                <w:color w:val="000000"/>
                <w:sz w:val="24"/>
                <w:szCs w:val="24"/>
                <w:rtl w:val="0"/>
              </w:rPr>
              <w:t xml:space="preserve"> Programme Document. </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 </w:t>
            </w:r>
            <w:r w:rsidDel="00000000" w:rsidR="00000000" w:rsidRPr="00000000">
              <w:rPr>
                <w:rFonts w:ascii="Times New Roman" w:cs="Times New Roman" w:eastAsia="Times New Roman" w:hAnsi="Times New Roman"/>
                <w:color w:val="000000"/>
                <w:sz w:val="24"/>
                <w:szCs w:val="24"/>
                <w:rtl w:val="0"/>
              </w:rPr>
              <w:t xml:space="preserve">information on the programme can be found on </w:t>
            </w:r>
            <w:r w:rsidDel="00000000" w:rsidR="00000000" w:rsidRPr="00000000">
              <w:rPr>
                <w:rFonts w:ascii="Times New Roman" w:cs="Times New Roman" w:eastAsia="Times New Roman" w:hAnsi="Times New Roman"/>
                <w:color w:val="1155cc"/>
                <w:sz w:val="24"/>
                <w:szCs w:val="24"/>
                <w:u w:val="single"/>
                <w:rtl w:val="0"/>
              </w:rPr>
              <w:t xml:space="preserve">http://unfpa.org/turkey</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tcBorders>
              <w:right w:color="bdd7ee" w:space="0" w:sz="6" w:val="single"/>
            </w:tcBorders>
            <w:shd w:fill="d9d9d9" w:val="clear"/>
          </w:tcPr>
          <w:p w:rsidR="00000000" w:rsidDel="00000000" w:rsidP="00000000" w:rsidRDefault="00000000" w:rsidRPr="00000000" w14:paraId="0000000D">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1.3 Specific results</w:t>
            </w:r>
          </w:p>
        </w:tc>
        <w:tc>
          <w:tcPr>
            <w:tcBorders>
              <w:left w:color="bdd7ee" w:space="0" w:sz="6" w:val="single"/>
            </w:tcBorders>
          </w:tcPr>
          <w:p w:rsidR="00000000" w:rsidDel="00000000" w:rsidP="00000000" w:rsidRDefault="00000000" w:rsidRPr="00000000" w14:paraId="0000000E">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this call within this framework and as set out in </w:t>
            </w:r>
            <w:r w:rsidDel="00000000" w:rsidR="00000000" w:rsidRPr="00000000">
              <w:rPr>
                <w:rFonts w:ascii="Times New Roman" w:cs="Times New Roman" w:eastAsia="Times New Roman" w:hAnsi="Times New Roman"/>
                <w:b w:val="1"/>
                <w:color w:val="000000"/>
                <w:sz w:val="24"/>
                <w:szCs w:val="24"/>
                <w:rtl w:val="0"/>
              </w:rPr>
              <w:t xml:space="preserve">2021-2025 7th Country Programme Document</w:t>
            </w:r>
            <w:r w:rsidDel="00000000" w:rsidR="00000000" w:rsidRPr="00000000">
              <w:rPr>
                <w:rFonts w:ascii="Times New Roman" w:cs="Times New Roman" w:eastAsia="Times New Roman" w:hAnsi="Times New Roman"/>
                <w:color w:val="000000"/>
                <w:sz w:val="24"/>
                <w:szCs w:val="24"/>
                <w:rtl w:val="0"/>
              </w:rPr>
              <w:t xml:space="preserve">, UNFPA will contribute to developing or strengthening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internal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capacity</w:t>
            </w:r>
            <w:r w:rsidDel="00000000" w:rsidR="00000000" w:rsidRPr="00000000">
              <w:rPr>
                <w:rFonts w:ascii="Times New Roman" w:cs="Times New Roman" w:eastAsia="Times New Roman" w:hAnsi="Times New Roman"/>
                <w:color w:val="000000"/>
                <w:sz w:val="24"/>
                <w:szCs w:val="24"/>
                <w:vertAlign w:val="superscript"/>
              </w:rPr>
              <w:footnoteReference w:customMarkFollows="0" w:id="0"/>
            </w:r>
            <w:r w:rsidDel="00000000" w:rsidR="00000000" w:rsidRPr="00000000">
              <w:rPr>
                <w:rFonts w:ascii="Times New Roman" w:cs="Times New Roman" w:eastAsia="Times New Roman" w:hAnsi="Times New Roman"/>
                <w:color w:val="000000"/>
                <w:sz w:val="24"/>
                <w:szCs w:val="24"/>
                <w:rtl w:val="0"/>
              </w:rPr>
              <w:t xml:space="preserve"> of community based not-for profit</w:t>
            </w:r>
            <w:r w:rsidDel="00000000" w:rsidR="00000000" w:rsidRPr="00000000">
              <w:rPr>
                <w:rFonts w:ascii="Times New Roman" w:cs="Times New Roman" w:eastAsia="Times New Roman" w:hAnsi="Times New Roman"/>
                <w:color w:val="000000"/>
                <w:sz w:val="24"/>
                <w:szCs w:val="24"/>
                <w:vertAlign w:val="superscript"/>
              </w:rPr>
              <w:footnoteReference w:customMarkFollows="0" w:id="1"/>
            </w:r>
            <w:r w:rsidDel="00000000" w:rsidR="00000000" w:rsidRPr="00000000">
              <w:rPr>
                <w:rFonts w:ascii="Times New Roman" w:cs="Times New Roman" w:eastAsia="Times New Roman" w:hAnsi="Times New Roman"/>
                <w:color w:val="000000"/>
                <w:sz w:val="24"/>
                <w:szCs w:val="24"/>
                <w:rtl w:val="0"/>
              </w:rPr>
              <w:t xml:space="preserve"> or civil society organizations (CSOs)</w:t>
            </w:r>
            <w:r w:rsidDel="00000000" w:rsidR="00000000" w:rsidRPr="00000000">
              <w:rPr>
                <w:rFonts w:ascii="Times New Roman" w:cs="Times New Roman" w:eastAsia="Times New Roman" w:hAnsi="Times New Roman"/>
                <w:color w:val="000000"/>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working in the following areas:</w:t>
            </w:r>
          </w:p>
          <w:p w:rsidR="00000000" w:rsidDel="00000000" w:rsidP="00000000" w:rsidRDefault="00000000" w:rsidRPr="00000000" w14:paraId="0000000F">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Sexual and reproductive health</w:t>
            </w:r>
          </w:p>
          <w:p w:rsidR="00000000" w:rsidDel="00000000" w:rsidP="00000000" w:rsidRDefault="00000000" w:rsidRPr="00000000" w14:paraId="000000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Youth empowerment</w:t>
            </w:r>
          </w:p>
          <w:p w:rsidR="00000000" w:rsidDel="00000000" w:rsidP="00000000" w:rsidRDefault="00000000" w:rsidRPr="00000000" w14:paraId="000000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Gender equality and Gender based violence</w:t>
            </w:r>
          </w:p>
          <w:p w:rsidR="00000000" w:rsidDel="00000000" w:rsidP="00000000" w:rsidRDefault="00000000" w:rsidRPr="00000000" w14:paraId="000000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Population dynamics</w: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5">
            <w:pPr>
              <w:shd w:fill="ffffff" w:val="clea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main objective of the call is to use grants to build the </w:t>
            </w:r>
            <w:r w:rsidDel="00000000" w:rsidR="00000000" w:rsidRPr="00000000">
              <w:rPr>
                <w:rFonts w:ascii="Times New Roman" w:cs="Times New Roman" w:eastAsia="Times New Roman" w:hAnsi="Times New Roman"/>
                <w:sz w:val="24"/>
                <w:szCs w:val="24"/>
                <w:rtl w:val="0"/>
              </w:rPr>
              <w:t xml:space="preserve">“internal” </w:t>
            </w:r>
            <w:r w:rsidDel="00000000" w:rsidR="00000000" w:rsidRPr="00000000">
              <w:rPr>
                <w:rFonts w:ascii="Times New Roman" w:cs="Times New Roman" w:eastAsia="Times New Roman" w:hAnsi="Times New Roman"/>
                <w:color w:val="000000"/>
                <w:sz w:val="24"/>
                <w:szCs w:val="24"/>
                <w:rtl w:val="0"/>
              </w:rPr>
              <w:t xml:space="preserve">capacity of an organization to undertake specific aspects of its agenda directly related to UNFPA’s mandate. </w:t>
            </w:r>
            <w:r w:rsidDel="00000000" w:rsidR="00000000" w:rsidRPr="00000000">
              <w:rPr>
                <w:rFonts w:ascii="Times New Roman" w:cs="Times New Roman" w:eastAsia="Times New Roman" w:hAnsi="Times New Roman"/>
                <w:b w:val="1"/>
                <w:color w:val="000000"/>
                <w:sz w:val="24"/>
                <w:szCs w:val="24"/>
                <w:rtl w:val="0"/>
              </w:rPr>
              <w:t xml:space="preserve">The specific results </w:t>
            </w:r>
            <w:r w:rsidDel="00000000" w:rsidR="00000000" w:rsidRPr="00000000">
              <w:rPr>
                <w:rFonts w:ascii="Times New Roman" w:cs="Times New Roman" w:eastAsia="Times New Roman" w:hAnsi="Times New Roman"/>
                <w:b w:val="1"/>
                <w:sz w:val="24"/>
                <w:szCs w:val="24"/>
                <w:rtl w:val="0"/>
              </w:rPr>
              <w:t xml:space="preserve">will be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16">
            <w:pPr>
              <w:shd w:fill="ffffff" w:val="clea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In-house operational capacity of CSOs is strengthened</w:t>
            </w:r>
          </w:p>
          <w:p w:rsidR="00000000" w:rsidDel="00000000" w:rsidP="00000000" w:rsidRDefault="00000000" w:rsidRPr="00000000" w14:paraId="00000017">
            <w:pPr>
              <w:shd w:fill="ffffff" w:val="clea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In-house digital capacity of CSOs is strengthened</w:t>
            </w:r>
          </w:p>
          <w:p w:rsidR="00000000" w:rsidDel="00000000" w:rsidP="00000000" w:rsidRDefault="00000000" w:rsidRPr="00000000" w14:paraId="00000018">
            <w:pPr>
              <w:shd w:fill="ffffff" w:val="clea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In-house technical/human resources capacity of CSOs is strengthened</w:t>
            </w:r>
          </w:p>
          <w:p w:rsidR="00000000" w:rsidDel="00000000" w:rsidP="00000000" w:rsidRDefault="00000000" w:rsidRPr="00000000" w14:paraId="00000019">
            <w:pPr>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tbl>
      <w:tblPr>
        <w:tblStyle w:val="Table2"/>
        <w:tblW w:w="9364.0" w:type="dxa"/>
        <w:jc w:val="left"/>
        <w:tblInd w:w="-143.0" w:type="dxa"/>
        <w:tblBorders>
          <w:top w:color="bdd7ee" w:space="0" w:sz="6" w:val="single"/>
          <w:left w:color="bdd7ee" w:space="0" w:sz="6" w:val="single"/>
          <w:bottom w:color="bdd7ee" w:space="0" w:sz="6" w:val="single"/>
          <w:right w:color="bdd7ee" w:space="0" w:sz="6" w:val="single"/>
          <w:insideH w:color="bdd7ee" w:space="0" w:sz="6" w:val="single"/>
          <w:insideV w:color="bdd7ee" w:space="0" w:sz="6" w:val="single"/>
        </w:tblBorders>
        <w:tblLayout w:type="fixed"/>
        <w:tblLook w:val="0400"/>
      </w:tblPr>
      <w:tblGrid>
        <w:gridCol w:w="1644"/>
        <w:gridCol w:w="4160"/>
        <w:gridCol w:w="3560"/>
        <w:tblGridChange w:id="0">
          <w:tblGrid>
            <w:gridCol w:w="1644"/>
            <w:gridCol w:w="4160"/>
            <w:gridCol w:w="3560"/>
          </w:tblGrid>
        </w:tblGridChange>
      </w:tblGrid>
      <w:tr>
        <w:trPr>
          <w:cantSplit w:val="0"/>
          <w:tblHeader w:val="0"/>
        </w:trPr>
        <w:tc>
          <w:tcPr>
            <w:gridSpan w:val="3"/>
            <w:shd w:fill="002060" w:val="clear"/>
          </w:tcPr>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ffff"/>
                <w:sz w:val="24"/>
                <w:szCs w:val="24"/>
                <w:rtl w:val="0"/>
              </w:rPr>
              <w:t xml:space="preserve">Section 2: Application requirements and timelines</w:t>
            </w: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01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2.1 Documentation required for the submission</w:t>
            </w:r>
          </w:p>
        </w:tc>
        <w:tc>
          <w:tcPr>
            <w:gridSpan w:val="2"/>
            <w:tcBorders>
              <w:left w:color="bdd7ee" w:space="0" w:sz="6" w:val="single"/>
            </w:tcBorders>
          </w:tcPr>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expression of interest shall include the following documentation:</w:t>
            </w:r>
          </w:p>
          <w:p w:rsidR="00000000" w:rsidDel="00000000" w:rsidP="00000000" w:rsidRDefault="00000000" w:rsidRPr="00000000" w14:paraId="00000020">
            <w:pPr>
              <w:numPr>
                <w:ilvl w:val="0"/>
                <w:numId w:val="6"/>
              </w:numPr>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Copy of provisions of legal status of the NGO in Turkey [</w:t>
            </w:r>
            <w:r w:rsidDel="00000000" w:rsidR="00000000" w:rsidRPr="00000000">
              <w:rPr>
                <w:rFonts w:ascii="Times New Roman" w:cs="Times New Roman" w:eastAsia="Times New Roman" w:hAnsi="Times New Roman"/>
                <w:i w:val="1"/>
                <w:sz w:val="24"/>
                <w:szCs w:val="24"/>
                <w:rtl w:val="0"/>
              </w:rPr>
              <w:t xml:space="preserve">Required to be eligible for review]</w:t>
            </w:r>
            <w:r w:rsidDel="00000000" w:rsidR="00000000" w:rsidRPr="00000000">
              <w:rPr>
                <w:rtl w:val="0"/>
              </w:rPr>
            </w:r>
          </w:p>
          <w:p w:rsidR="00000000" w:rsidDel="00000000" w:rsidP="00000000" w:rsidRDefault="00000000" w:rsidRPr="00000000" w14:paraId="00000021">
            <w:pPr>
              <w:numPr>
                <w:ilvl w:val="0"/>
                <w:numId w:val="6"/>
              </w:numPr>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Copy of provisions of legal status of the NGO in home country (for INGOs )</w:t>
            </w:r>
          </w:p>
          <w:p w:rsidR="00000000" w:rsidDel="00000000" w:rsidP="00000000" w:rsidRDefault="00000000" w:rsidRPr="00000000" w14:paraId="00000022">
            <w:pPr>
              <w:numPr>
                <w:ilvl w:val="0"/>
                <w:numId w:val="6"/>
              </w:numPr>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Attachment I – NGO Profile and Grant Proposal</w:t>
            </w:r>
          </w:p>
          <w:p w:rsidR="00000000" w:rsidDel="00000000" w:rsidP="00000000" w:rsidRDefault="00000000" w:rsidRPr="00000000" w14:paraId="00000023">
            <w:pPr>
              <w:numPr>
                <w:ilvl w:val="0"/>
                <w:numId w:val="6"/>
              </w:numPr>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Attachment II – </w:t>
            </w:r>
            <w:r w:rsidDel="00000000" w:rsidR="00000000" w:rsidRPr="00000000">
              <w:rPr>
                <w:rFonts w:ascii="Times New Roman" w:cs="Times New Roman" w:eastAsia="Times New Roman" w:hAnsi="Times New Roman"/>
                <w:b w:val="1"/>
                <w:sz w:val="24"/>
                <w:szCs w:val="24"/>
                <w:rtl w:val="0"/>
              </w:rPr>
              <w:t xml:space="preserve">Proposed Budget  (max $30.000)</w:t>
            </w:r>
            <w:r w:rsidDel="00000000" w:rsidR="00000000" w:rsidRPr="00000000">
              <w:rPr>
                <w:rtl w:val="0"/>
              </w:rPr>
            </w:r>
          </w:p>
          <w:p w:rsidR="00000000" w:rsidDel="00000000" w:rsidP="00000000" w:rsidRDefault="00000000" w:rsidRPr="00000000" w14:paraId="00000024">
            <w:pPr>
              <w:numPr>
                <w:ilvl w:val="0"/>
                <w:numId w:val="6"/>
              </w:numPr>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Latest annual report and audit report as separate documents or hyperlink to the documents</w:t>
            </w:r>
          </w:p>
        </w:tc>
      </w:tr>
      <w:tr>
        <w:trPr>
          <w:cantSplit w:val="0"/>
          <w:tblHeader w:val="0"/>
        </w:trPr>
        <w:tc>
          <w:tcPr>
            <w:vMerge w:val="restart"/>
            <w:tcBorders>
              <w:right w:color="bdd7ee" w:space="0" w:sz="6" w:val="single"/>
            </w:tcBorders>
            <w:shd w:fill="d9d9d9" w:val="clear"/>
          </w:tcPr>
          <w:p w:rsidR="00000000" w:rsidDel="00000000" w:rsidP="00000000" w:rsidRDefault="00000000" w:rsidRPr="00000000" w14:paraId="0000002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2.2 Indicative timelines</w:t>
            </w:r>
          </w:p>
        </w:tc>
        <w:tc>
          <w:tcPr>
            <w:tcBorders>
              <w:left w:color="bdd7ee" w:space="0" w:sz="6" w:val="single"/>
            </w:tcBorders>
          </w:tcPr>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Invitation for Proposal issue date </w:t>
            </w:r>
          </w:p>
        </w:tc>
        <w:tc>
          <w:tcPr>
            <w:tcBorders>
              <w:left w:color="bdd7ee" w:space="0" w:sz="6" w:val="single"/>
            </w:tcBorders>
          </w:tcPr>
          <w:p w:rsidR="00000000" w:rsidDel="00000000" w:rsidP="00000000" w:rsidRDefault="00000000" w:rsidRPr="00000000" w14:paraId="00000028">
            <w:pPr>
              <w:rPr>
                <w:rFonts w:ascii="Times New Roman" w:cs="Times New Roman" w:eastAsia="Times New Roman" w:hAnsi="Times New Roman"/>
                <w:b w:val="1"/>
                <w:sz w:val="24"/>
                <w:szCs w:val="24"/>
                <w:highlight w:val="cyan"/>
              </w:rPr>
            </w:pPr>
            <w:r w:rsidDel="00000000" w:rsidR="00000000" w:rsidRPr="00000000">
              <w:rPr>
                <w:rFonts w:ascii="Times New Roman" w:cs="Times New Roman" w:eastAsia="Times New Roman" w:hAnsi="Times New Roman"/>
                <w:b w:val="1"/>
                <w:sz w:val="24"/>
                <w:szCs w:val="24"/>
                <w:highlight w:val="cyan"/>
                <w:rtl w:val="0"/>
              </w:rPr>
              <w:t xml:space="preserve">13 September 2021</w:t>
            </w:r>
          </w:p>
        </w:tc>
      </w:tr>
      <w:tr>
        <w:trPr>
          <w:cantSplit w:val="0"/>
          <w:tblHeader w:val="0"/>
        </w:trPr>
        <w:tc>
          <w:tcPr>
            <w:vMerge w:val="continue"/>
            <w:tcBorders>
              <w:right w:color="bdd7ee" w:space="0" w:sz="6" w:val="single"/>
            </w:tcBorders>
            <w:shd w:fill="d9d9d9" w:val="clea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highlight w:val="cyan"/>
              </w:rPr>
            </w:pPr>
            <w:r w:rsidDel="00000000" w:rsidR="00000000" w:rsidRPr="00000000">
              <w:rPr>
                <w:rtl w:val="0"/>
              </w:rPr>
            </w:r>
          </w:p>
        </w:tc>
        <w:tc>
          <w:tcPr>
            <w:tcBorders>
              <w:left w:color="bdd7ee" w:space="0" w:sz="6" w:val="single"/>
            </w:tcBorders>
          </w:tcPr>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Deadline for requests of additional information/ clarifications </w:t>
            </w:r>
          </w:p>
        </w:tc>
        <w:tc>
          <w:tcPr>
            <w:tcBorders>
              <w:left w:color="bdd7ee" w:space="0" w:sz="6" w:val="single"/>
            </w:tcBorders>
          </w:tcPr>
          <w:p w:rsidR="00000000" w:rsidDel="00000000" w:rsidP="00000000" w:rsidRDefault="00000000" w:rsidRPr="00000000" w14:paraId="0000002B">
            <w:pPr>
              <w:rPr>
                <w:rFonts w:ascii="Times New Roman" w:cs="Times New Roman" w:eastAsia="Times New Roman" w:hAnsi="Times New Roman"/>
                <w:b w:val="1"/>
                <w:sz w:val="24"/>
                <w:szCs w:val="24"/>
                <w:highlight w:val="cyan"/>
              </w:rPr>
            </w:pPr>
            <w:r w:rsidDel="00000000" w:rsidR="00000000" w:rsidRPr="00000000">
              <w:rPr>
                <w:rFonts w:ascii="Times New Roman" w:cs="Times New Roman" w:eastAsia="Times New Roman" w:hAnsi="Times New Roman"/>
                <w:b w:val="1"/>
                <w:sz w:val="24"/>
                <w:szCs w:val="24"/>
                <w:highlight w:val="cyan"/>
                <w:rtl w:val="0"/>
              </w:rPr>
              <w:t xml:space="preserve">30 September 2021</w:t>
            </w:r>
          </w:p>
        </w:tc>
      </w:tr>
      <w:tr>
        <w:trPr>
          <w:cantSplit w:val="0"/>
          <w:tblHeader w:val="0"/>
        </w:trPr>
        <w:tc>
          <w:tcPr>
            <w:vMerge w:val="continue"/>
            <w:tcBorders>
              <w:right w:color="bdd7ee" w:space="0" w:sz="6" w:val="single"/>
            </w:tcBorders>
            <w:shd w:fill="d9d9d9" w:val="clea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highlight w:val="cyan"/>
              </w:rPr>
            </w:pPr>
            <w:r w:rsidDel="00000000" w:rsidR="00000000" w:rsidRPr="00000000">
              <w:rPr>
                <w:rtl w:val="0"/>
              </w:rPr>
            </w:r>
          </w:p>
        </w:tc>
        <w:tc>
          <w:tcPr>
            <w:tcBorders>
              <w:left w:color="bdd7ee" w:space="0" w:sz="6" w:val="single"/>
            </w:tcBorders>
          </w:tcPr>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Deadline for submissions of proposals</w:t>
            </w:r>
          </w:p>
        </w:tc>
        <w:tc>
          <w:tcPr>
            <w:tcBorders>
              <w:left w:color="bdd7ee" w:space="0" w:sz="6" w:val="single"/>
            </w:tcBorders>
          </w:tcPr>
          <w:p w:rsidR="00000000" w:rsidDel="00000000" w:rsidP="00000000" w:rsidRDefault="00000000" w:rsidRPr="00000000" w14:paraId="0000002E">
            <w:pPr>
              <w:rPr>
                <w:rFonts w:ascii="Times New Roman" w:cs="Times New Roman" w:eastAsia="Times New Roman" w:hAnsi="Times New Roman"/>
                <w:b w:val="1"/>
                <w:sz w:val="24"/>
                <w:szCs w:val="24"/>
                <w:highlight w:val="cyan"/>
              </w:rPr>
            </w:pPr>
            <w:r w:rsidDel="00000000" w:rsidR="00000000" w:rsidRPr="00000000">
              <w:rPr>
                <w:rFonts w:ascii="Times New Roman" w:cs="Times New Roman" w:eastAsia="Times New Roman" w:hAnsi="Times New Roman"/>
                <w:b w:val="1"/>
                <w:sz w:val="24"/>
                <w:szCs w:val="24"/>
                <w:highlight w:val="cyan"/>
                <w:rtl w:val="0"/>
              </w:rPr>
              <w:t xml:space="preserve">4 October 2021</w:t>
            </w:r>
          </w:p>
        </w:tc>
      </w:tr>
      <w:tr>
        <w:trPr>
          <w:cantSplit w:val="0"/>
          <w:tblHeader w:val="0"/>
        </w:trPr>
        <w:tc>
          <w:tcPr>
            <w:vMerge w:val="continue"/>
            <w:tcBorders>
              <w:right w:color="bdd7ee" w:space="0" w:sz="6" w:val="single"/>
            </w:tcBorders>
            <w:shd w:fill="d9d9d9" w:val="clea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highlight w:val="cyan"/>
              </w:rPr>
            </w:pPr>
            <w:r w:rsidDel="00000000" w:rsidR="00000000" w:rsidRPr="00000000">
              <w:rPr>
                <w:rtl w:val="0"/>
              </w:rPr>
            </w:r>
          </w:p>
        </w:tc>
        <w:tc>
          <w:tcPr>
            <w:tcBorders>
              <w:left w:color="bdd7ee" w:space="0" w:sz="6" w:val="single"/>
            </w:tcBorders>
          </w:tcPr>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of NGO submissions</w:t>
            </w:r>
          </w:p>
        </w:tc>
        <w:tc>
          <w:tcPr>
            <w:tcBorders>
              <w:left w:color="bdd7ee" w:space="0" w:sz="6" w:val="single"/>
            </w:tcBorders>
          </w:tcPr>
          <w:p w:rsidR="00000000" w:rsidDel="00000000" w:rsidP="00000000" w:rsidRDefault="00000000" w:rsidRPr="00000000" w14:paraId="00000031">
            <w:pPr>
              <w:rPr>
                <w:rFonts w:ascii="Times New Roman" w:cs="Times New Roman" w:eastAsia="Times New Roman" w:hAnsi="Times New Roman"/>
                <w:b w:val="1"/>
                <w:sz w:val="24"/>
                <w:szCs w:val="24"/>
                <w:highlight w:val="cyan"/>
              </w:rPr>
            </w:pPr>
            <w:r w:rsidDel="00000000" w:rsidR="00000000" w:rsidRPr="00000000">
              <w:rPr>
                <w:rFonts w:ascii="Times New Roman" w:cs="Times New Roman" w:eastAsia="Times New Roman" w:hAnsi="Times New Roman"/>
                <w:b w:val="1"/>
                <w:sz w:val="24"/>
                <w:szCs w:val="24"/>
                <w:highlight w:val="cyan"/>
                <w:rtl w:val="0"/>
              </w:rPr>
              <w:t xml:space="preserve">8 October 2021</w:t>
            </w:r>
          </w:p>
        </w:tc>
      </w:tr>
      <w:tr>
        <w:trPr>
          <w:cantSplit w:val="0"/>
          <w:tblHeader w:val="0"/>
        </w:trPr>
        <w:tc>
          <w:tcPr>
            <w:vMerge w:val="continue"/>
            <w:tcBorders>
              <w:right w:color="bdd7ee" w:space="0" w:sz="6" w:val="single"/>
            </w:tcBorders>
            <w:shd w:fill="d9d9d9" w:val="clea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highlight w:val="cyan"/>
              </w:rPr>
            </w:pPr>
            <w:r w:rsidDel="00000000" w:rsidR="00000000" w:rsidRPr="00000000">
              <w:rPr>
                <w:rtl w:val="0"/>
              </w:rPr>
            </w:r>
          </w:p>
        </w:tc>
        <w:tc>
          <w:tcPr>
            <w:tcBorders>
              <w:left w:color="bdd7ee" w:space="0" w:sz="6" w:val="single"/>
            </w:tcBorders>
          </w:tcPr>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Notification of results communicated to NGO </w:t>
            </w:r>
            <w:r w:rsidDel="00000000" w:rsidR="00000000" w:rsidRPr="00000000">
              <w:rPr>
                <w:rFonts w:ascii="Times New Roman" w:cs="Times New Roman" w:eastAsia="Times New Roman" w:hAnsi="Times New Roman"/>
                <w:i w:val="1"/>
                <w:sz w:val="24"/>
                <w:szCs w:val="24"/>
                <w:rtl w:val="0"/>
              </w:rPr>
              <w:t xml:space="preserve">(estimated date) </w:t>
            </w:r>
            <w:r w:rsidDel="00000000" w:rsidR="00000000" w:rsidRPr="00000000">
              <w:rPr>
                <w:rFonts w:ascii="Times New Roman" w:cs="Times New Roman" w:eastAsia="Times New Roman" w:hAnsi="Times New Roman"/>
                <w:sz w:val="24"/>
                <w:szCs w:val="24"/>
                <w:rtl w:val="0"/>
              </w:rPr>
              <w:t xml:space="preserve">and singing the Grant Agreement</w:t>
            </w:r>
          </w:p>
        </w:tc>
        <w:tc>
          <w:tcPr>
            <w:tcBorders>
              <w:left w:color="bdd7ee" w:space="0" w:sz="6" w:val="single"/>
            </w:tcBorders>
          </w:tcPr>
          <w:p w:rsidR="00000000" w:rsidDel="00000000" w:rsidP="00000000" w:rsidRDefault="00000000" w:rsidRPr="00000000" w14:paraId="00000034">
            <w:pPr>
              <w:rPr>
                <w:rFonts w:ascii="Times New Roman" w:cs="Times New Roman" w:eastAsia="Times New Roman" w:hAnsi="Times New Roman"/>
                <w:b w:val="1"/>
                <w:sz w:val="24"/>
                <w:szCs w:val="24"/>
                <w:highlight w:val="cyan"/>
              </w:rPr>
            </w:pPr>
            <w:r w:rsidDel="00000000" w:rsidR="00000000" w:rsidRPr="00000000">
              <w:rPr>
                <w:rFonts w:ascii="Times New Roman" w:cs="Times New Roman" w:eastAsia="Times New Roman" w:hAnsi="Times New Roman"/>
                <w:b w:val="1"/>
                <w:sz w:val="24"/>
                <w:szCs w:val="24"/>
                <w:highlight w:val="cyan"/>
                <w:rtl w:val="0"/>
              </w:rPr>
              <w:t xml:space="preserve">15 October 2021</w:t>
            </w:r>
          </w:p>
        </w:tc>
      </w:tr>
      <w:tr>
        <w:trPr>
          <w:cantSplit w:val="0"/>
          <w:tblHeader w:val="0"/>
        </w:trPr>
        <w:tc>
          <w:tcPr>
            <w:tcBorders>
              <w:right w:color="bdd7ee" w:space="0" w:sz="6" w:val="single"/>
            </w:tcBorders>
            <w:shd w:fill="d9d9d9" w:val="clea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highlight w:val="cyan"/>
              </w:rPr>
            </w:pPr>
            <w:r w:rsidDel="00000000" w:rsidR="00000000" w:rsidRPr="00000000">
              <w:rPr>
                <w:rtl w:val="0"/>
              </w:rPr>
            </w:r>
          </w:p>
        </w:tc>
        <w:tc>
          <w:tcPr>
            <w:tcBorders>
              <w:left w:color="bdd7ee" w:space="0" w:sz="6" w:val="single"/>
            </w:tcBorders>
          </w:tcPr>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Deadline for completion of activities by NGO</w:t>
            </w:r>
          </w:p>
        </w:tc>
        <w:tc>
          <w:tcPr>
            <w:tcBorders>
              <w:left w:color="bdd7ee" w:space="0" w:sz="6" w:val="single"/>
            </w:tcBorders>
          </w:tcPr>
          <w:p w:rsidR="00000000" w:rsidDel="00000000" w:rsidP="00000000" w:rsidRDefault="00000000" w:rsidRPr="00000000" w14:paraId="00000037">
            <w:pPr>
              <w:rPr>
                <w:rFonts w:ascii="Times New Roman" w:cs="Times New Roman" w:eastAsia="Times New Roman" w:hAnsi="Times New Roman"/>
                <w:b w:val="1"/>
                <w:sz w:val="24"/>
                <w:szCs w:val="24"/>
                <w:highlight w:val="cyan"/>
              </w:rPr>
            </w:pPr>
            <w:r w:rsidDel="00000000" w:rsidR="00000000" w:rsidRPr="00000000">
              <w:rPr>
                <w:rFonts w:ascii="Times New Roman" w:cs="Times New Roman" w:eastAsia="Times New Roman" w:hAnsi="Times New Roman"/>
                <w:b w:val="1"/>
                <w:sz w:val="24"/>
                <w:szCs w:val="24"/>
                <w:highlight w:val="cyan"/>
                <w:rtl w:val="0"/>
              </w:rPr>
              <w:t xml:space="preserve">15 October 2022</w:t>
            </w:r>
          </w:p>
        </w:tc>
      </w:tr>
    </w:tbl>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tbl>
      <w:tblPr>
        <w:tblStyle w:val="Table3"/>
        <w:tblW w:w="10035.0" w:type="dxa"/>
        <w:jc w:val="left"/>
        <w:tblInd w:w="-143.0" w:type="dxa"/>
        <w:tblBorders>
          <w:top w:color="bdd7ee" w:space="0" w:sz="6" w:val="single"/>
          <w:left w:color="bdd7ee" w:space="0" w:sz="6" w:val="single"/>
          <w:bottom w:color="bdd7ee" w:space="0" w:sz="6" w:val="single"/>
          <w:right w:color="bdd7ee" w:space="0" w:sz="6" w:val="single"/>
          <w:insideH w:color="bdd7ee" w:space="0" w:sz="6" w:val="single"/>
          <w:insideV w:color="bdd7ee" w:space="0" w:sz="6" w:val="single"/>
        </w:tblBorders>
        <w:tblLayout w:type="fixed"/>
        <w:tblLook w:val="0400"/>
      </w:tblPr>
      <w:tblGrid>
        <w:gridCol w:w="1644"/>
        <w:gridCol w:w="1731"/>
        <w:gridCol w:w="6660"/>
        <w:tblGridChange w:id="0">
          <w:tblGrid>
            <w:gridCol w:w="1644"/>
            <w:gridCol w:w="1731"/>
            <w:gridCol w:w="6660"/>
          </w:tblGrid>
        </w:tblGridChange>
      </w:tblGrid>
      <w:tr>
        <w:trPr>
          <w:cantSplit w:val="0"/>
          <w:tblHeader w:val="0"/>
        </w:trPr>
        <w:tc>
          <w:tcPr>
            <w:gridSpan w:val="3"/>
            <w:shd w:fill="002060" w:val="clear"/>
          </w:tcPr>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ffff"/>
                <w:sz w:val="24"/>
                <w:szCs w:val="24"/>
                <w:rtl w:val="0"/>
              </w:rPr>
              <w:t xml:space="preserve">Section 3: Process and timelines</w:t>
            </w: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03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3.1 Review &amp; evaluation of NGO submissions</w:t>
            </w:r>
          </w:p>
        </w:tc>
        <w:tc>
          <w:tcPr>
            <w:gridSpan w:val="2"/>
            <w:tcBorders>
              <w:left w:color="bdd7ee" w:space="0" w:sz="6" w:val="single"/>
            </w:tcBorders>
          </w:tcPr>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Applications will be assessed by a review panel to identify organizations that have the required internal capacity building needs and gaps </w:t>
            </w:r>
            <w:r w:rsidDel="00000000" w:rsidR="00000000" w:rsidRPr="00000000">
              <w:rPr>
                <w:rFonts w:ascii="Times New Roman" w:cs="Times New Roman" w:eastAsia="Times New Roman" w:hAnsi="Times New Roman"/>
                <w:i w:val="1"/>
                <w:sz w:val="24"/>
                <w:szCs w:val="24"/>
                <w:rtl w:val="0"/>
              </w:rPr>
              <w:t xml:space="preserve">using criteria outlined in section 3.2 below</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proposals submitted for the grant call shall not include any activities undertaken on behalf of UNFPA and grants cannot be used for advocacy purposes.</w:t>
            </w:r>
          </w:p>
          <w:p w:rsidR="00000000" w:rsidDel="00000000" w:rsidP="00000000" w:rsidRDefault="00000000" w:rsidRPr="00000000" w14:paraId="0000003F">
            <w:pPr>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It should be noted, however, that participation in this Invitation for Proposals does not guarantee the organization will be selected for partnership with UNFPA. Selected NGOs will be invited to enter into an implementing partner agreement and applicable UNFPA programme policy and procedures will apply.</w:t>
            </w:r>
          </w:p>
        </w:tc>
      </w:tr>
      <w:tr>
        <w:trPr>
          <w:cantSplit w:val="0"/>
          <w:trHeight w:val="20" w:hRule="atLeast"/>
          <w:tblHeader w:val="0"/>
        </w:trPr>
        <w:tc>
          <w:tcPr>
            <w:vMerge w:val="restart"/>
            <w:tcBorders>
              <w:right w:color="bdd7ee" w:space="0" w:sz="6" w:val="single"/>
            </w:tcBorders>
            <w:shd w:fill="d9d9d9" w:val="clear"/>
          </w:tcPr>
          <w:p w:rsidR="00000000" w:rsidDel="00000000" w:rsidP="00000000" w:rsidRDefault="00000000" w:rsidRPr="00000000" w14:paraId="0000004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w:t>
            </w:r>
            <w:r w:rsidDel="00000000" w:rsidR="00000000" w:rsidRPr="00000000">
              <w:rPr>
                <w:rFonts w:ascii="Times New Roman" w:cs="Times New Roman" w:eastAsia="Times New Roman" w:hAnsi="Times New Roman"/>
                <w:sz w:val="22"/>
                <w:szCs w:val="22"/>
                <w:rtl w:val="0"/>
              </w:rPr>
              <w:t xml:space="preserve">.2 Selection criteria</w:t>
            </w:r>
          </w:p>
        </w:tc>
        <w:tc>
          <w:tcPr>
            <w:gridSpan w:val="2"/>
            <w:tcBorders>
              <w:left w:color="bdd7ee" w:space="0" w:sz="6" w:val="single"/>
            </w:tcBorders>
          </w:tcPr>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Eligible organizations will be selected in a transparent and competitive manner, based on their capacity to meet the grant’s priorities in the most efficient and cost-effective manner.</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UNFPA Turkey office will review evidence provided by the NGO submission and evaluate applications based on the following criteria:</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NB: Any proposal not submitted in specified working language will be excluded from consideration.</w:t>
            </w:r>
          </w:p>
        </w:tc>
      </w:tr>
      <w:tr>
        <w:trPr>
          <w:cantSplit w:val="0"/>
          <w:trHeight w:val="60" w:hRule="atLeast"/>
          <w:tblHeader w:val="0"/>
        </w:trPr>
        <w:tc>
          <w:tcPr>
            <w:vMerge w:val="continue"/>
            <w:tcBorders>
              <w:right w:color="bdd7ee" w:space="0" w:sz="6" w:val="single"/>
            </w:tcBorders>
            <w:shd w:fill="d9d9d9" w:val="clea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left w:color="bdd7ee" w:space="0" w:sz="6" w:val="single"/>
            </w:tcBorders>
          </w:tcPr>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Mission and Goals</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points)</w:t>
            </w:r>
          </w:p>
        </w:tc>
        <w:tc>
          <w:tcPr>
            <w:tcBorders>
              <w:left w:color="bdd7ee" w:space="0" w:sz="6" w:val="single"/>
            </w:tcBorders>
          </w:tcPr>
          <w:p w:rsidR="00000000" w:rsidDel="00000000" w:rsidP="00000000" w:rsidRDefault="00000000" w:rsidRPr="00000000" w14:paraId="0000004B">
            <w:pPr>
              <w:numPr>
                <w:ilvl w:val="0"/>
                <w:numId w:val="2"/>
              </w:numPr>
              <w:ind w:left="4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organization has a clearly defined mission and goals that reflect the organization’s structure and context, as well as alignment to UNFPA priority areas.</w:t>
            </w:r>
          </w:p>
          <w:p w:rsidR="00000000" w:rsidDel="00000000" w:rsidP="00000000" w:rsidRDefault="00000000" w:rsidRPr="00000000" w14:paraId="0000004C">
            <w:pPr>
              <w:numPr>
                <w:ilvl w:val="0"/>
                <w:numId w:val="2"/>
              </w:numPr>
              <w:ind w:left="4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Organization does not have a history of fraud, complaints or service delivery issues.</w:t>
            </w:r>
          </w:p>
        </w:tc>
      </w:tr>
      <w:tr>
        <w:trPr>
          <w:cantSplit w:val="0"/>
          <w:trHeight w:val="60" w:hRule="atLeast"/>
          <w:tblHeader w:val="0"/>
        </w:trPr>
        <w:tc>
          <w:tcPr>
            <w:vMerge w:val="continue"/>
            <w:tcBorders>
              <w:right w:color="bdd7ee" w:space="0" w:sz="6" w:val="single"/>
            </w:tcBorders>
            <w:shd w:fill="d9d9d9" w:val="clea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left w:color="bdd7ee" w:space="0" w:sz="6" w:val="single"/>
            </w:tcBorders>
          </w:tcPr>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Existing capacity</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points)</w:t>
            </w:r>
          </w:p>
        </w:tc>
        <w:tc>
          <w:tcPr>
            <w:tcBorders>
              <w:left w:color="bdd7ee" w:space="0" w:sz="6" w:val="single"/>
            </w:tcBorders>
          </w:tcPr>
          <w:p w:rsidR="00000000" w:rsidDel="00000000" w:rsidP="00000000" w:rsidRDefault="00000000" w:rsidRPr="00000000" w14:paraId="00000050">
            <w:pPr>
              <w:numPr>
                <w:ilvl w:val="0"/>
                <w:numId w:val="4"/>
              </w:numPr>
              <w:ind w:left="4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Organization has clearly identified its existing technical and operational capacity.</w:t>
            </w:r>
          </w:p>
          <w:p w:rsidR="00000000" w:rsidDel="00000000" w:rsidP="00000000" w:rsidRDefault="00000000" w:rsidRPr="00000000" w14:paraId="00000051">
            <w:pPr>
              <w:numPr>
                <w:ilvl w:val="0"/>
                <w:numId w:val="4"/>
              </w:numPr>
              <w:ind w:left="4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Organization does not have conflicts of interest with UNFPA or its personnel that cannot be effectively mitigated.</w:t>
            </w:r>
          </w:p>
        </w:tc>
      </w:tr>
      <w:tr>
        <w:trPr>
          <w:cantSplit w:val="0"/>
          <w:trHeight w:val="60" w:hRule="atLeast"/>
          <w:tblHeader w:val="0"/>
        </w:trPr>
        <w:tc>
          <w:tcPr>
            <w:tcBorders>
              <w:right w:color="bdd7ee" w:space="0" w:sz="6" w:val="single"/>
            </w:tcBorders>
            <w:shd w:fill="d9d9d9" w:val="clear"/>
          </w:tcPr>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tc>
        <w:tc>
          <w:tcPr>
            <w:tcBorders>
              <w:left w:color="bdd7ee" w:space="0" w:sz="6" w:val="single"/>
            </w:tcBorders>
          </w:tcPr>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Relevance of proposal</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points)</w:t>
            </w:r>
          </w:p>
        </w:tc>
        <w:tc>
          <w:tcPr>
            <w:tcBorders>
              <w:left w:color="bdd7ee" w:space="0" w:sz="6" w:val="single"/>
            </w:tcBorders>
          </w:tcPr>
          <w:p w:rsidR="00000000" w:rsidDel="00000000" w:rsidP="00000000" w:rsidRDefault="00000000" w:rsidRPr="00000000" w14:paraId="00000055">
            <w:pPr>
              <w:numPr>
                <w:ilvl w:val="0"/>
                <w:numId w:val="8"/>
              </w:numPr>
              <w:ind w:left="4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organization has designed the proposal to build/strengthen solely its internal capacity. </w:t>
            </w:r>
          </w:p>
        </w:tc>
      </w:tr>
      <w:tr>
        <w:trPr>
          <w:cantSplit w:val="0"/>
          <w:trHeight w:val="60" w:hRule="atLeast"/>
          <w:tblHeader w:val="0"/>
        </w:trPr>
        <w:tc>
          <w:tcPr>
            <w:tcBorders>
              <w:right w:color="bdd7ee" w:space="0" w:sz="6" w:val="single"/>
            </w:tcBorders>
            <w:shd w:fill="d9d9d9" w:val="clear"/>
          </w:tcPr>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tl w:val="0"/>
              </w:rPr>
            </w:r>
          </w:p>
        </w:tc>
        <w:tc>
          <w:tcPr>
            <w:tcBorders>
              <w:left w:color="bdd7ee" w:space="0" w:sz="6" w:val="single"/>
            </w:tcBorders>
          </w:tcPr>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Basic Monitoring and Reporting</w:t>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points)</w:t>
            </w:r>
          </w:p>
        </w:tc>
        <w:tc>
          <w:tcPr>
            <w:tcBorders>
              <w:left w:color="bdd7ee" w:space="0" w:sz="6" w:val="single"/>
            </w:tcBorders>
          </w:tcPr>
          <w:p w:rsidR="00000000" w:rsidDel="00000000" w:rsidP="00000000" w:rsidRDefault="00000000" w:rsidRPr="00000000" w14:paraId="00000059">
            <w:pPr>
              <w:numPr>
                <w:ilvl w:val="0"/>
                <w:numId w:val="3"/>
              </w:numPr>
              <w:ind w:left="4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organization has systems and tools in place to systematically collect, analyse and use monitoring data to demonstrate evidence that the grant is used in line with the proposal</w:t>
            </w:r>
          </w:p>
        </w:tc>
      </w:tr>
      <w:tr>
        <w:trPr>
          <w:cantSplit w:val="0"/>
          <w:trHeight w:val="60" w:hRule="atLeast"/>
          <w:tblHeader w:val="0"/>
        </w:trPr>
        <w:tc>
          <w:tcPr>
            <w:tcBorders>
              <w:right w:color="bdd7ee" w:space="0" w:sz="6" w:val="single"/>
            </w:tcBorders>
            <w:shd w:fill="d9d9d9" w:val="clear"/>
          </w:tcPr>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tl w:val="0"/>
              </w:rPr>
            </w:r>
          </w:p>
        </w:tc>
        <w:tc>
          <w:tcPr>
            <w:tcBorders>
              <w:left w:color="bdd7ee" w:space="0" w:sz="6" w:val="single"/>
            </w:tcBorders>
          </w:tcPr>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Partnerships</w:t>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points)</w:t>
            </w:r>
          </w:p>
        </w:tc>
        <w:tc>
          <w:tcPr>
            <w:tcBorders>
              <w:left w:color="bdd7ee" w:space="0" w:sz="6" w:val="single"/>
            </w:tcBorders>
          </w:tcPr>
          <w:p w:rsidR="00000000" w:rsidDel="00000000" w:rsidP="00000000" w:rsidRDefault="00000000" w:rsidRPr="00000000" w14:paraId="0000005D">
            <w:pPr>
              <w:numPr>
                <w:ilvl w:val="0"/>
                <w:numId w:val="1"/>
              </w:numPr>
              <w:ind w:left="4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organization’s potential to establish partnerships with the government and other relevant local, international and private sector entities.</w:t>
            </w:r>
          </w:p>
        </w:tc>
      </w:tr>
      <w:tr>
        <w:trPr>
          <w:cantSplit w:val="0"/>
          <w:trHeight w:val="60" w:hRule="atLeast"/>
          <w:tblHeader w:val="0"/>
        </w:trPr>
        <w:tc>
          <w:tcPr>
            <w:tcBorders>
              <w:right w:color="bdd7ee" w:space="0" w:sz="6" w:val="single"/>
            </w:tcBorders>
            <w:shd w:fill="d9d9d9" w:val="clear"/>
          </w:tcPr>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tl w:val="0"/>
              </w:rPr>
            </w:r>
          </w:p>
        </w:tc>
        <w:tc>
          <w:tcPr>
            <w:tcBorders>
              <w:left w:color="bdd7ee" w:space="0" w:sz="6" w:val="single"/>
            </w:tcBorders>
          </w:tcPr>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Environmental Considerations</w:t>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points)</w:t>
            </w:r>
          </w:p>
        </w:tc>
        <w:tc>
          <w:tcPr>
            <w:tcBorders>
              <w:left w:color="bdd7ee" w:space="0" w:sz="6" w:val="single"/>
            </w:tcBorders>
          </w:tcPr>
          <w:p w:rsidR="00000000" w:rsidDel="00000000" w:rsidP="00000000" w:rsidRDefault="00000000" w:rsidRPr="00000000" w14:paraId="00000061">
            <w:pPr>
              <w:numPr>
                <w:ilvl w:val="0"/>
                <w:numId w:val="7"/>
              </w:numPr>
              <w:ind w:left="4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organization has established policies or practices to reduce the environmental impact of its activities. </w:t>
            </w:r>
          </w:p>
        </w:tc>
      </w:tr>
      <w:tr>
        <w:trPr>
          <w:cantSplit w:val="0"/>
          <w:trHeight w:val="20" w:hRule="atLeast"/>
          <w:tblHeader w:val="0"/>
        </w:trPr>
        <w:tc>
          <w:tcPr>
            <w:tcBorders>
              <w:right w:color="bdd7ee" w:space="0" w:sz="6" w:val="single"/>
            </w:tcBorders>
            <w:shd w:fill="d9d9d9" w:val="clear"/>
          </w:tcPr>
          <w:p w:rsidR="00000000" w:rsidDel="00000000" w:rsidP="00000000" w:rsidRDefault="00000000" w:rsidRPr="00000000" w14:paraId="0000006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3.3 Prospective partnership agreement</w:t>
            </w:r>
          </w:p>
        </w:tc>
        <w:tc>
          <w:tcPr>
            <w:gridSpan w:val="2"/>
            <w:tcBorders>
              <w:left w:color="bdd7ee" w:space="0" w:sz="6" w:val="single"/>
            </w:tcBorders>
          </w:tcPr>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UNFPA will inform all applicants of the outcome of their submissions in writing to the email/ postal address indicated in the NGO submission.</w:t>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tl w:val="0"/>
              </w:rPr>
            </w:r>
          </w:p>
        </w:tc>
      </w:tr>
    </w:tbl>
    <w:bookmarkStart w:colFirst="0" w:colLast="0" w:name="bookmark=id.30j0zll" w:id="1"/>
    <w:bookmarkEnd w:id="1"/>
    <w:p w:rsidR="00000000" w:rsidDel="00000000" w:rsidP="00000000" w:rsidRDefault="00000000" w:rsidRPr="00000000" w14:paraId="00000067">
      <w:pPr>
        <w:rPr/>
      </w:pPr>
      <w:r w:rsidDel="00000000" w:rsidR="00000000" w:rsidRPr="00000000">
        <w:rPr>
          <w:rtl w:val="0"/>
        </w:rPr>
      </w:r>
    </w:p>
    <w:sectPr>
      <w:footerReference r:id="rId8" w:type="default"/>
      <w:pgSz w:h="15840" w:w="12240" w:orient="portrait"/>
      <w:pgMar w:bottom="1440" w:top="5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imes New Roman"/>
  <w:font w:name="Courier New"/>
  <w:font w:name="Arial Bold"/>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tabs>
        <w:tab w:val="center" w:pos="4680"/>
        <w:tab w:val="right" w:pos="9360"/>
      </w:tabs>
      <w:spacing w:after="708" w:lineRule="auto"/>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Capacity is defined by the OECD DAC as the ability of people, organizations and society as a whole to manage their affairs successfully; and capacity development is understood as the process whereby people, organizations and society as a whole unleash, strengthen, create, adapt and maintain capacity over time.</w:t>
      </w:r>
    </w:p>
  </w:footnote>
  <w:footnote w:id="1">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A community-based organization is a non-profit organization that is representative of a community or a significant portion of said community and is engaged with meeting specific societal needs.</w:t>
      </w:r>
      <w:r w:rsidDel="00000000" w:rsidR="00000000" w:rsidRPr="00000000">
        <w:rPr>
          <w:rtl w:val="0"/>
        </w:rPr>
      </w:r>
    </w:p>
  </w:footnote>
  <w:footnote w:id="2">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A civil society organization (CSO) is a non-state actor that aims neither to generate profit nor to seek governing power. CSOs unite people to advance shared goals and interests. They work on a smaller scale than those on a national or international level.</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360" w:firstLine="360"/>
      </w:pPr>
      <w:rPr>
        <w:rFonts w:ascii="Arial" w:cs="Arial" w:eastAsia="Arial" w:hAnsi="Arial"/>
      </w:rPr>
    </w:lvl>
    <w:lvl w:ilvl="1">
      <w:start w:val="1"/>
      <w:numFmt w:val="bullet"/>
      <w:lvlText w:val="o"/>
      <w:lvlJc w:val="left"/>
      <w:pPr>
        <w:ind w:left="1080" w:firstLine="1800"/>
      </w:pPr>
      <w:rPr>
        <w:rFonts w:ascii="Arial" w:cs="Arial" w:eastAsia="Arial" w:hAnsi="Arial"/>
      </w:rPr>
    </w:lvl>
    <w:lvl w:ilvl="2">
      <w:start w:val="1"/>
      <w:numFmt w:val="bullet"/>
      <w:lvlText w:val="▪"/>
      <w:lvlJc w:val="left"/>
      <w:pPr>
        <w:ind w:left="1800" w:firstLine="3240"/>
      </w:pPr>
      <w:rPr>
        <w:rFonts w:ascii="Arial" w:cs="Arial" w:eastAsia="Arial" w:hAnsi="Arial"/>
      </w:rPr>
    </w:lvl>
    <w:lvl w:ilvl="3">
      <w:start w:val="1"/>
      <w:numFmt w:val="bullet"/>
      <w:lvlText w:val="●"/>
      <w:lvlJc w:val="left"/>
      <w:pPr>
        <w:ind w:left="2520" w:firstLine="4680"/>
      </w:pPr>
      <w:rPr>
        <w:rFonts w:ascii="Arial" w:cs="Arial" w:eastAsia="Arial" w:hAnsi="Arial"/>
      </w:rPr>
    </w:lvl>
    <w:lvl w:ilvl="4">
      <w:start w:val="1"/>
      <w:numFmt w:val="bullet"/>
      <w:lvlText w:val="o"/>
      <w:lvlJc w:val="left"/>
      <w:pPr>
        <w:ind w:left="3240" w:firstLine="6120"/>
      </w:pPr>
      <w:rPr>
        <w:rFonts w:ascii="Arial" w:cs="Arial" w:eastAsia="Arial" w:hAnsi="Arial"/>
      </w:rPr>
    </w:lvl>
    <w:lvl w:ilvl="5">
      <w:start w:val="1"/>
      <w:numFmt w:val="bullet"/>
      <w:lvlText w:val="▪"/>
      <w:lvlJc w:val="left"/>
      <w:pPr>
        <w:ind w:left="3960" w:firstLine="7560"/>
      </w:pPr>
      <w:rPr>
        <w:rFonts w:ascii="Arial" w:cs="Arial" w:eastAsia="Arial" w:hAnsi="Arial"/>
      </w:rPr>
    </w:lvl>
    <w:lvl w:ilvl="6">
      <w:start w:val="1"/>
      <w:numFmt w:val="bullet"/>
      <w:lvlText w:val="●"/>
      <w:lvlJc w:val="left"/>
      <w:pPr>
        <w:ind w:left="4680" w:firstLine="9000"/>
      </w:pPr>
      <w:rPr>
        <w:rFonts w:ascii="Arial" w:cs="Arial" w:eastAsia="Arial" w:hAnsi="Arial"/>
      </w:rPr>
    </w:lvl>
    <w:lvl w:ilvl="7">
      <w:start w:val="1"/>
      <w:numFmt w:val="bullet"/>
      <w:lvlText w:val="o"/>
      <w:lvlJc w:val="left"/>
      <w:pPr>
        <w:ind w:left="5400" w:firstLine="10440"/>
      </w:pPr>
      <w:rPr>
        <w:rFonts w:ascii="Arial" w:cs="Arial" w:eastAsia="Arial" w:hAnsi="Arial"/>
      </w:rPr>
    </w:lvl>
    <w:lvl w:ilvl="8">
      <w:start w:val="1"/>
      <w:numFmt w:val="bullet"/>
      <w:lvlText w:val="▪"/>
      <w:lvlJc w:val="left"/>
      <w:pPr>
        <w:ind w:left="6120" w:firstLine="11880"/>
      </w:pPr>
      <w:rPr>
        <w:rFonts w:ascii="Arial" w:cs="Arial" w:eastAsia="Arial" w:hAnsi="Arial"/>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jc w:val="both"/>
    </w:pPr>
    <w:rPr>
      <w:b w:val="1"/>
      <w:color w:val="2e75b5"/>
      <w:sz w:val="22"/>
      <w:szCs w:val="22"/>
    </w:rPr>
  </w:style>
  <w:style w:type="paragraph" w:styleId="Heading2">
    <w:name w:val="heading 2"/>
    <w:basedOn w:val="Normal"/>
    <w:next w:val="Normal"/>
    <w:pPr>
      <w:keepNext w:val="1"/>
      <w:keepLines w:val="1"/>
      <w:spacing w:before="40" w:lineRule="auto"/>
      <w:jc w:val="both"/>
    </w:pPr>
    <w:rPr>
      <w:rFonts w:ascii="Calibri" w:cs="Calibri" w:eastAsia="Calibri" w:hAnsi="Calibri"/>
      <w:color w:val="2e75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tabs>
        <w:tab w:val="left" w:pos="426"/>
      </w:tabs>
      <w:spacing w:after="240" w:before="480" w:lineRule="auto"/>
      <w:ind w:left="142" w:hanging="142"/>
    </w:pPr>
    <w:rPr>
      <w:rFonts w:ascii="Arial Bold" w:cs="Arial Bold" w:eastAsia="Arial Bold" w:hAnsi="Arial Bold"/>
      <w:b w:val="1"/>
      <w:color w:val="0099ff"/>
      <w:sz w:val="24"/>
      <w:szCs w:val="24"/>
    </w:rPr>
  </w:style>
  <w:style w:type="paragraph" w:styleId="Normal" w:default="1">
    <w:name w:val="Normal"/>
  </w:style>
  <w:style w:type="paragraph" w:styleId="Heading1">
    <w:name w:val="heading 1"/>
    <w:basedOn w:val="Normal"/>
    <w:next w:val="Normal"/>
    <w:pPr>
      <w:keepNext w:val="1"/>
      <w:keepLines w:val="1"/>
      <w:spacing w:before="240"/>
      <w:jc w:val="both"/>
      <w:outlineLvl w:val="0"/>
    </w:pPr>
    <w:rPr>
      <w:b w:val="1"/>
      <w:color w:val="2e75b5"/>
      <w:sz w:val="22"/>
      <w:szCs w:val="22"/>
    </w:rPr>
  </w:style>
  <w:style w:type="paragraph" w:styleId="Heading2">
    <w:name w:val="heading 2"/>
    <w:basedOn w:val="Normal"/>
    <w:next w:val="Normal"/>
    <w:pPr>
      <w:keepNext w:val="1"/>
      <w:keepLines w:val="1"/>
      <w:spacing w:before="40"/>
      <w:jc w:val="both"/>
      <w:outlineLvl w:val="1"/>
    </w:pPr>
    <w:rPr>
      <w:rFonts w:ascii="Calibri" w:cs="Calibri" w:eastAsia="Calibri" w:hAnsi="Calibri"/>
      <w:color w:val="2e75b5"/>
      <w:sz w:val="26"/>
      <w:szCs w:val="2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tabs>
        <w:tab w:val="left" w:pos="426"/>
      </w:tabs>
      <w:spacing w:after="240" w:before="480"/>
      <w:ind w:left="142" w:hanging="142"/>
    </w:pPr>
    <w:rPr>
      <w:rFonts w:ascii="Arial Bold" w:cs="Arial Bold" w:eastAsia="Arial Bold" w:hAnsi="Arial Bold"/>
      <w:b w:val="1"/>
      <w:color w:val="0099ff"/>
      <w:sz w:val="24"/>
      <w:szCs w:val="24"/>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pPr>
      <w:contextualSpacing w:val="1"/>
    </w:pPr>
    <w:tblPr>
      <w:tblStyleRowBandSize w:val="1"/>
      <w:tblStyleColBandSize w:val="1"/>
      <w:tblCellMar>
        <w:left w:w="115.0" w:type="dxa"/>
        <w:right w:w="115.0" w:type="dxa"/>
      </w:tblCellMar>
    </w:tblPr>
  </w:style>
  <w:style w:type="table" w:styleId="a1" w:customStyle="1">
    <w:basedOn w:val="TableNormal"/>
    <w:pPr>
      <w:contextualSpacing w:val="1"/>
    </w:pPr>
    <w:tblPr>
      <w:tblStyleRowBandSize w:val="1"/>
      <w:tblStyleColBandSize w:val="1"/>
      <w:tblCellMar>
        <w:left w:w="115.0" w:type="dxa"/>
        <w:right w:w="115.0" w:type="dxa"/>
      </w:tblCellMar>
    </w:tblPr>
  </w:style>
  <w:style w:type="table" w:styleId="a2" w:customStyle="1">
    <w:basedOn w:val="TableNormal"/>
    <w:pPr>
      <w:contextualSpacing w:val="1"/>
    </w:pPr>
    <w:tblPr>
      <w:tblStyleRowBandSize w:val="1"/>
      <w:tblStyleColBandSize w:val="1"/>
      <w:tblCellMar>
        <w:left w:w="115.0" w:type="dxa"/>
        <w:right w:w="115.0" w:type="dxa"/>
      </w:tblCellMar>
    </w:tblPr>
  </w:style>
  <w:style w:type="table" w:styleId="a3" w:customStyle="1">
    <w:basedOn w:val="TableNormal"/>
    <w:tblPr>
      <w:tblStyleRowBandSize w:val="1"/>
      <w:tblStyleColBandSize w:val="1"/>
    </w:tblPr>
  </w:style>
  <w:style w:type="table" w:styleId="a4" w:customStyle="1">
    <w:basedOn w:val="TableNormal"/>
    <w:pPr>
      <w:contextualSpacing w:val="1"/>
    </w:pPr>
    <w:tblPr>
      <w:tblStyleRowBandSize w:val="1"/>
      <w:tblStyleColBandSize w:val="1"/>
      <w:tblCellMar>
        <w:left w:w="115.0" w:type="dxa"/>
        <w:right w:w="115.0" w:type="dxa"/>
      </w:tblCellMar>
    </w:tblPr>
  </w:style>
  <w:style w:type="table" w:styleId="a5" w:customStyle="1">
    <w:basedOn w:val="TableNormal"/>
    <w:pPr>
      <w:contextualSpacing w:val="1"/>
    </w:pPr>
    <w:tblPr>
      <w:tblStyleRowBandSize w:val="1"/>
      <w:tblStyleColBandSize w:val="1"/>
      <w:tblCellMar>
        <w:left w:w="115.0" w:type="dxa"/>
        <w:right w:w="115.0" w:type="dxa"/>
      </w:tblCellMar>
    </w:tblPr>
  </w:style>
  <w:style w:type="table" w:styleId="a6" w:customStyle="1">
    <w:basedOn w:val="TableNormal"/>
    <w:pPr>
      <w:contextualSpacing w:val="1"/>
    </w:pPr>
    <w:tblPr>
      <w:tblStyleRowBandSize w:val="1"/>
      <w:tblStyleColBandSize w:val="1"/>
      <w:tblCellMar>
        <w:left w:w="115.0" w:type="dxa"/>
        <w:right w:w="115.0" w:type="dxa"/>
      </w:tblCellMar>
    </w:tblPr>
  </w:style>
  <w:style w:type="table" w:styleId="a7" w:customStyle="1">
    <w:basedOn w:val="TableNormal"/>
    <w:pPr>
      <w:contextualSpacing w:val="1"/>
    </w:pPr>
    <w:tblPr>
      <w:tblStyleRowBandSize w:val="1"/>
      <w:tblStyleColBandSize w:val="1"/>
      <w:tblCellMar>
        <w:left w:w="115.0" w:type="dxa"/>
        <w:right w:w="115.0" w:type="dxa"/>
      </w:tblCellMar>
    </w:tblPr>
  </w:style>
  <w:style w:type="table" w:styleId="a8" w:customStyle="1">
    <w:basedOn w:val="TableNormal"/>
    <w:pPr>
      <w:contextualSpacing w:val="1"/>
    </w:pPr>
    <w:tblPr>
      <w:tblStyleRowBandSize w:val="1"/>
      <w:tblStyleColBandSize w:val="1"/>
      <w:tblCellMar>
        <w:left w:w="115.0" w:type="dxa"/>
        <w:right w:w="115.0" w:type="dxa"/>
      </w:tblCellMar>
    </w:tblPr>
  </w:style>
  <w:style w:type="table" w:styleId="a9" w:customStyle="1">
    <w:basedOn w:val="TableNormal"/>
    <w:pPr>
      <w:contextualSpacing w:val="1"/>
    </w:pPr>
    <w:tblPr>
      <w:tblStyleRowBandSize w:val="1"/>
      <w:tblStyleColBandSize w:val="1"/>
      <w:tblCellMar>
        <w:left w:w="115.0" w:type="dxa"/>
        <w:right w:w="115.0" w:type="dxa"/>
      </w:tblCellMar>
    </w:tblPr>
  </w:style>
  <w:style w:type="table" w:styleId="aa" w:customStyle="1">
    <w:basedOn w:val="TableNormal"/>
    <w:pPr>
      <w:contextualSpacing w:val="1"/>
    </w:pPr>
    <w:tblPr>
      <w:tblStyleRowBandSize w:val="1"/>
      <w:tblStyleColBandSize w:val="1"/>
      <w:tblCellMar>
        <w:left w:w="115.0" w:type="dxa"/>
        <w:right w:w="115.0" w:type="dxa"/>
      </w:tblCellMar>
    </w:tblPr>
  </w:style>
  <w:style w:type="table" w:styleId="ab" w:customStyle="1">
    <w:basedOn w:val="TableNormal"/>
    <w:pPr>
      <w:contextualSpacing w:val="1"/>
    </w:pPr>
    <w:tblPr>
      <w:tblStyleRowBandSize w:val="1"/>
      <w:tblStyleColBandSize w:val="1"/>
      <w:tblCellMar>
        <w:left w:w="115.0" w:type="dxa"/>
        <w:right w:w="115.0" w:type="dxa"/>
      </w:tblCellMar>
    </w:tblPr>
  </w:style>
  <w:style w:type="table" w:styleId="ac" w:customStyle="1">
    <w:basedOn w:val="TableNormal"/>
    <w:pPr>
      <w:contextualSpacing w:val="1"/>
    </w:pPr>
    <w:tblPr>
      <w:tblStyleRowBandSize w:val="1"/>
      <w:tblStyleColBandSize w:val="1"/>
      <w:tblCellMar>
        <w:left w:w="115.0" w:type="dxa"/>
        <w:right w:w="115.0" w:type="dxa"/>
      </w:tblCellMar>
    </w:tblPr>
  </w:style>
  <w:style w:type="table" w:styleId="ad" w:customStyle="1">
    <w:basedOn w:val="TableNormal"/>
    <w:pPr>
      <w:contextualSpacing w:val="1"/>
    </w:pPr>
    <w:tblPr>
      <w:tblStyleRowBandSize w:val="1"/>
      <w:tblStyleColBandSize w:val="1"/>
      <w:tblCellMar>
        <w:left w:w="115.0" w:type="dxa"/>
        <w:right w:w="115.0" w:type="dxa"/>
      </w:tblCellMar>
    </w:tblPr>
  </w:style>
  <w:style w:type="paragraph" w:styleId="BalloonText">
    <w:name w:val="Balloon Text"/>
    <w:basedOn w:val="Normal"/>
    <w:link w:val="BalloonTextChar"/>
    <w:uiPriority w:val="99"/>
    <w:semiHidden w:val="1"/>
    <w:unhideWhenUsed w:val="1"/>
    <w:rsid w:val="001243FD"/>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243FD"/>
    <w:rPr>
      <w:rFonts w:ascii="Segoe UI" w:cs="Segoe UI" w:hAnsi="Segoe UI"/>
      <w:sz w:val="18"/>
      <w:szCs w:val="18"/>
    </w:rPr>
  </w:style>
  <w:style w:type="character" w:styleId="CommentReference">
    <w:name w:val="annotation reference"/>
    <w:basedOn w:val="DefaultParagraphFont"/>
    <w:uiPriority w:val="99"/>
    <w:semiHidden w:val="1"/>
    <w:unhideWhenUsed w:val="1"/>
    <w:rsid w:val="001243FD"/>
    <w:rPr>
      <w:sz w:val="16"/>
      <w:szCs w:val="16"/>
    </w:rPr>
  </w:style>
  <w:style w:type="paragraph" w:styleId="CommentText">
    <w:name w:val="annotation text"/>
    <w:basedOn w:val="Normal"/>
    <w:link w:val="CommentTextChar"/>
    <w:uiPriority w:val="99"/>
    <w:unhideWhenUsed w:val="1"/>
    <w:rsid w:val="001243FD"/>
  </w:style>
  <w:style w:type="character" w:styleId="CommentTextChar" w:customStyle="1">
    <w:name w:val="Comment Text Char"/>
    <w:basedOn w:val="DefaultParagraphFont"/>
    <w:link w:val="CommentText"/>
    <w:uiPriority w:val="99"/>
    <w:rsid w:val="001243FD"/>
  </w:style>
  <w:style w:type="paragraph" w:styleId="CommentSubject">
    <w:name w:val="annotation subject"/>
    <w:basedOn w:val="CommentText"/>
    <w:next w:val="CommentText"/>
    <w:link w:val="CommentSubjectChar"/>
    <w:uiPriority w:val="99"/>
    <w:semiHidden w:val="1"/>
    <w:unhideWhenUsed w:val="1"/>
    <w:rsid w:val="001243FD"/>
    <w:rPr>
      <w:b w:val="1"/>
      <w:bCs w:val="1"/>
    </w:rPr>
  </w:style>
  <w:style w:type="character" w:styleId="CommentSubjectChar" w:customStyle="1">
    <w:name w:val="Comment Subject Char"/>
    <w:basedOn w:val="CommentTextChar"/>
    <w:link w:val="CommentSubject"/>
    <w:uiPriority w:val="99"/>
    <w:semiHidden w:val="1"/>
    <w:rsid w:val="001243FD"/>
    <w:rPr>
      <w:b w:val="1"/>
      <w:bCs w:val="1"/>
    </w:rPr>
  </w:style>
  <w:style w:type="paragraph" w:styleId="Header">
    <w:name w:val="header"/>
    <w:basedOn w:val="Normal"/>
    <w:link w:val="HeaderChar"/>
    <w:uiPriority w:val="99"/>
    <w:unhideWhenUsed w:val="1"/>
    <w:rsid w:val="00D6471E"/>
    <w:pPr>
      <w:tabs>
        <w:tab w:val="center" w:pos="4680"/>
        <w:tab w:val="right" w:pos="9360"/>
      </w:tabs>
    </w:pPr>
  </w:style>
  <w:style w:type="character" w:styleId="HeaderChar" w:customStyle="1">
    <w:name w:val="Header Char"/>
    <w:basedOn w:val="DefaultParagraphFont"/>
    <w:link w:val="Header"/>
    <w:uiPriority w:val="99"/>
    <w:rsid w:val="00D6471E"/>
  </w:style>
  <w:style w:type="paragraph" w:styleId="Footer">
    <w:name w:val="footer"/>
    <w:basedOn w:val="Normal"/>
    <w:link w:val="FooterChar"/>
    <w:uiPriority w:val="99"/>
    <w:unhideWhenUsed w:val="1"/>
    <w:rsid w:val="00D6471E"/>
    <w:pPr>
      <w:tabs>
        <w:tab w:val="center" w:pos="4680"/>
        <w:tab w:val="right" w:pos="9360"/>
      </w:tabs>
    </w:pPr>
  </w:style>
  <w:style w:type="character" w:styleId="FooterChar" w:customStyle="1">
    <w:name w:val="Footer Char"/>
    <w:basedOn w:val="DefaultParagraphFont"/>
    <w:link w:val="Footer"/>
    <w:uiPriority w:val="99"/>
    <w:rsid w:val="00D6471E"/>
  </w:style>
  <w:style w:type="table" w:styleId="TableGrid">
    <w:name w:val="Table Grid"/>
    <w:basedOn w:val="TableNormal"/>
    <w:uiPriority w:val="39"/>
    <w:rsid w:val="00D6197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6C5022"/>
    <w:pPr>
      <w:ind w:left="720"/>
      <w:contextualSpacing w:val="1"/>
    </w:pPr>
  </w:style>
  <w:style w:type="character" w:styleId="IntenseReference">
    <w:name w:val="Intense Reference"/>
    <w:basedOn w:val="DefaultParagraphFont"/>
    <w:uiPriority w:val="32"/>
    <w:qFormat w:val="1"/>
    <w:rsid w:val="00AC5F3F"/>
    <w:rPr>
      <w:b w:val="1"/>
      <w:bCs w:val="1"/>
      <w:smallCaps w:val="1"/>
      <w:color w:val="5b9bd5" w:themeColor="accent1"/>
      <w:spacing w:val="5"/>
    </w:rPr>
  </w:style>
  <w:style w:type="character" w:styleId="BookTitle">
    <w:name w:val="Book Title"/>
    <w:basedOn w:val="DefaultParagraphFont"/>
    <w:uiPriority w:val="33"/>
    <w:qFormat w:val="1"/>
    <w:rsid w:val="00AC5F3F"/>
    <w:rPr>
      <w:b w:val="1"/>
      <w:bCs w:val="1"/>
      <w:i w:val="1"/>
      <w:iCs w:val="1"/>
      <w:spacing w:val="5"/>
    </w:rPr>
  </w:style>
  <w:style w:type="character" w:styleId="SubtleReference">
    <w:name w:val="Subtle Reference"/>
    <w:basedOn w:val="DefaultParagraphFont"/>
    <w:uiPriority w:val="31"/>
    <w:qFormat w:val="1"/>
    <w:rsid w:val="00AC5F3F"/>
    <w:rPr>
      <w:smallCaps w:val="1"/>
      <w:color w:val="5a5a5a" w:themeColor="text1" w:themeTint="0000A5"/>
    </w:rPr>
  </w:style>
  <w:style w:type="paragraph" w:styleId="FootnoteText">
    <w:name w:val="footnote text"/>
    <w:basedOn w:val="Normal"/>
    <w:link w:val="FootnoteTextChar"/>
    <w:uiPriority w:val="99"/>
    <w:semiHidden w:val="1"/>
    <w:unhideWhenUsed w:val="1"/>
    <w:rsid w:val="000B190D"/>
  </w:style>
  <w:style w:type="character" w:styleId="FootnoteTextChar" w:customStyle="1">
    <w:name w:val="Footnote Text Char"/>
    <w:basedOn w:val="DefaultParagraphFont"/>
    <w:link w:val="FootnoteText"/>
    <w:uiPriority w:val="99"/>
    <w:semiHidden w:val="1"/>
    <w:rsid w:val="000B190D"/>
  </w:style>
  <w:style w:type="character" w:styleId="FootnoteReference">
    <w:name w:val="footnote reference"/>
    <w:basedOn w:val="DefaultParagraphFont"/>
    <w:uiPriority w:val="99"/>
    <w:semiHidden w:val="1"/>
    <w:unhideWhenUsed w:val="1"/>
    <w:rsid w:val="000B190D"/>
    <w:rPr>
      <w:vertAlign w:val="superscrip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tblPr>
      <w:tblStyleRowBandSize w:val="1"/>
      <w:tblStyleColBandSize w:val="1"/>
      <w:tblCellMar>
        <w:top w:w="0.0" w:type="dxa"/>
        <w:left w:w="115.0" w:type="dxa"/>
        <w:bottom w:w="0.0" w:type="dxa"/>
        <w:right w:w="115.0" w:type="dxa"/>
      </w:tblCellMar>
    </w:tblPr>
  </w:style>
  <w:style w:type="table" w:styleId="Table2">
    <w:basedOn w:val="TableNormal"/>
    <w:pPr/>
    <w:tblPr>
      <w:tblStyleRowBandSize w:val="1"/>
      <w:tblStyleColBandSize w:val="1"/>
      <w:tblCellMar>
        <w:top w:w="0.0" w:type="dxa"/>
        <w:left w:w="115.0" w:type="dxa"/>
        <w:bottom w:w="0.0" w:type="dxa"/>
        <w:right w:w="115.0" w:type="dxa"/>
      </w:tblCellMar>
    </w:tblPr>
  </w:style>
  <w:style w:type="table" w:styleId="Table3">
    <w:basedOn w:val="TableNormal"/>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FoCkRY4CkFbHCnLehhdgNRMiPg==">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2021-05-20T08:00:00Z</dcterms:created>
  <dc:creator>Nicole Kim</dc:creator>
</cp:coreProperties>
</file>