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jc w:val="center"/>
        <w:rPr/>
      </w:pPr>
      <w:bookmarkStart w:colFirst="0" w:colLast="0" w:name="_6td7o133flmo" w:id="0"/>
      <w:bookmarkEnd w:id="0"/>
      <w:r w:rsidDel="00000000" w:rsidR="00000000" w:rsidRPr="00000000">
        <w:rPr>
          <w:rtl w:val="0"/>
        </w:rPr>
        <w:t xml:space="preserve">Sustainability and Exit Strategies</w:t>
      </w:r>
      <w:r w:rsidDel="00000000" w:rsidR="00000000" w:rsidRPr="00000000">
        <w:rPr>
          <w:rtl w:val="0"/>
        </w:rPr>
      </w:r>
    </w:p>
    <w:tbl>
      <w:tblPr>
        <w:tblStyle w:val="Table1"/>
        <w:tblW w:w="100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
        <w:gridCol w:w="5040"/>
        <w:tblGridChange w:id="0">
          <w:tblGrid>
            <w:gridCol w:w="5040"/>
            <w:gridCol w:w="5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Request for Quotation (RFQ)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RFQ-21-2-21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Issuance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28 June 2022</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Closing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18 July 2022</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Closing Date - Timestamp</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5:00 PM TRT (UTC+3)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Method of RFQ Submission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spacing w:after="0" w:line="240" w:lineRule="auto"/>
              <w:jc w:val="both"/>
              <w:rPr>
                <w:highlight w:val="yellow"/>
              </w:rPr>
            </w:pPr>
            <w:r w:rsidDel="00000000" w:rsidR="00000000" w:rsidRPr="00000000">
              <w:rPr>
                <w:rtl w:val="0"/>
              </w:rPr>
              <w:t xml:space="preserve">Submit via email to: </w:t>
            </w:r>
            <w:hyperlink r:id="rId6">
              <w:r w:rsidDel="00000000" w:rsidR="00000000" w:rsidRPr="00000000">
                <w:rPr>
                  <w:color w:val="1155cc"/>
                  <w:u w:val="single"/>
                  <w:rtl w:val="0"/>
                </w:rPr>
                <w:t xml:space="preserve">turkey.tenders@buildingmarkets.org</w:t>
              </w:r>
            </w:hyperlink>
            <w:r w:rsidDel="00000000" w:rsidR="00000000" w:rsidRPr="00000000">
              <w:rPr>
                <w:rtl w:val="0"/>
              </w:rPr>
              <w:t xml:space="preserve"> </w:t>
            </w:r>
            <w:r w:rsidDel="00000000" w:rsidR="00000000" w:rsidRPr="00000000">
              <w:rPr>
                <w:highlight w:val="yellow"/>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Subject 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Price quote for RFQ-21-2-21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Submission Format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Email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Preferred currency of quotation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United States Dollars (USD)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Tax on Price Quotation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Must be inclusive of VAT and other applicable indirect taxes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Conditions for Release of Payment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All services delivered as per contract scope of work &amp; deliverables</w:t>
            </w:r>
          </w:p>
        </w:tc>
      </w:tr>
      <w:tr>
        <w:trPr>
          <w:cantSplit w:val="0"/>
          <w:trHeight w:val="64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Period of Validity of Quotes starting</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on the Submission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60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Evaluation 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Financial Proposal  (30%)</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Technical Proposal (70%)</w:t>
            </w:r>
          </w:p>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rtl w:val="0"/>
              </w:rPr>
              <w:t xml:space="preserve">Expertise - Relevance and experience in developing successful sustainability and exit strategies (15%)</w:t>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rtl w:val="0"/>
              </w:rPr>
              <w:t xml:space="preserve">Expertise in conducting market research; demonstrated previous experience that can be considered relevant to Building Markets’ scope of work (20%)</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rtl w:val="0"/>
              </w:rPr>
              <w:t xml:space="preserve">Understanding of refugee livelihoods and economic development programming (15%)</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Clarity of proposal (10%)</w:t>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References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Deadline for submitting 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jc w:val="both"/>
              <w:rPr>
                <w:highlight w:val="yellow"/>
              </w:rPr>
            </w:pPr>
            <w:r w:rsidDel="00000000" w:rsidR="00000000" w:rsidRPr="00000000">
              <w:rPr>
                <w:rtl w:val="0"/>
              </w:rPr>
              <w:t xml:space="preserve">18 July 2022</w:t>
            </w:r>
            <w:r w:rsidDel="00000000" w:rsidR="00000000" w:rsidRPr="00000000">
              <w:rPr>
                <w:rtl w:val="0"/>
              </w:rPr>
            </w:r>
          </w:p>
        </w:tc>
      </w:tr>
    </w:tbl>
    <w:p w:rsidR="00000000" w:rsidDel="00000000" w:rsidP="00000000" w:rsidRDefault="00000000" w:rsidRPr="00000000" w14:paraId="00000023">
      <w:pPr>
        <w:pageBreakBefore w:val="0"/>
        <w:jc w:val="both"/>
        <w:rPr/>
      </w:pPr>
      <w:r w:rsidDel="00000000" w:rsidR="00000000" w:rsidRPr="00000000">
        <w:rPr>
          <w:rtl w:val="0"/>
        </w:rPr>
      </w:r>
    </w:p>
    <w:p w:rsidR="00000000" w:rsidDel="00000000" w:rsidP="00000000" w:rsidRDefault="00000000" w:rsidRPr="00000000" w14:paraId="00000024">
      <w:pPr>
        <w:pageBreakBefore w:val="0"/>
        <w:jc w:val="both"/>
        <w:rPr/>
      </w:pPr>
      <w:r w:rsidDel="00000000" w:rsidR="00000000" w:rsidRPr="00000000">
        <w:br w:type="page"/>
      </w:r>
      <w:r w:rsidDel="00000000" w:rsidR="00000000" w:rsidRPr="00000000">
        <w:rPr>
          <w:color w:val="365f91"/>
          <w:sz w:val="28"/>
          <w:szCs w:val="28"/>
          <w:rtl w:val="0"/>
        </w:rPr>
        <w:t xml:space="preserve">Who We Are</w:t>
      </w:r>
      <w:r w:rsidDel="00000000" w:rsidR="00000000" w:rsidRPr="00000000">
        <w:rPr>
          <w:rtl w:val="0"/>
        </w:rPr>
      </w:r>
    </w:p>
    <w:p w:rsidR="00000000" w:rsidDel="00000000" w:rsidP="00000000" w:rsidRDefault="00000000" w:rsidRPr="00000000" w14:paraId="00000025">
      <w:pPr>
        <w:pageBreakBefore w:val="0"/>
        <w:jc w:val="both"/>
        <w:rPr/>
      </w:pPr>
      <w:r w:rsidDel="00000000" w:rsidR="00000000" w:rsidRPr="00000000">
        <w:rPr>
          <w:rtl w:val="0"/>
        </w:rPr>
        <w:t xml:space="preserve">Building Markets is an award-winning non-profit organization that creates jobs and encourages economic growth by finding, building and connecting competitive local small and medium-sized enterprises (SMEs) to supply chains, investment, and growth opportunities. We have built a network of more than 25,000 verified SMEs and organizations, assisted them in winning over $1.3 billion in contracts, and helped create over 70,000 jobs in some of the world’s most challenging environments. Building Markets is headquartered in New York City. For more information visit </w:t>
      </w:r>
      <w:hyperlink r:id="rId7">
        <w:r w:rsidDel="00000000" w:rsidR="00000000" w:rsidRPr="00000000">
          <w:rPr>
            <w:color w:val="1155cc"/>
            <w:u w:val="single"/>
            <w:rtl w:val="0"/>
          </w:rPr>
          <w:t xml:space="preserve">www.buildingmarkets.org</w:t>
        </w:r>
      </w:hyperlink>
      <w:r w:rsidDel="00000000" w:rsidR="00000000" w:rsidRPr="00000000">
        <w:rPr>
          <w:rtl w:val="0"/>
        </w:rPr>
        <w:t xml:space="preserve">. </w:t>
      </w:r>
    </w:p>
    <w:p w:rsidR="00000000" w:rsidDel="00000000" w:rsidP="00000000" w:rsidRDefault="00000000" w:rsidRPr="00000000" w14:paraId="00000026">
      <w:pPr>
        <w:pStyle w:val="Heading2"/>
        <w:pageBreakBefore w:val="0"/>
        <w:jc w:val="both"/>
        <w:rPr/>
      </w:pPr>
      <w:bookmarkStart w:colFirst="0" w:colLast="0" w:name="_ndl5rjek1rmi" w:id="1"/>
      <w:bookmarkEnd w:id="1"/>
      <w:r w:rsidDel="00000000" w:rsidR="00000000" w:rsidRPr="00000000">
        <w:rPr>
          <w:rtl w:val="0"/>
        </w:rPr>
        <w:t xml:space="preserve">Background</w:t>
      </w:r>
    </w:p>
    <w:p w:rsidR="00000000" w:rsidDel="00000000" w:rsidP="00000000" w:rsidRDefault="00000000" w:rsidRPr="00000000" w14:paraId="00000027">
      <w:pPr>
        <w:pageBreakBefore w:val="0"/>
        <w:jc w:val="both"/>
        <w:rPr>
          <w:highlight w:val="yellow"/>
        </w:rPr>
      </w:pPr>
      <w:r w:rsidDel="00000000" w:rsidR="00000000" w:rsidRPr="00000000">
        <w:rPr>
          <w:rtl w:val="0"/>
        </w:rPr>
        <w:t xml:space="preserve">Building Markets is seeking an External Consultancy for “Program Sustainability, Exit, and Long-Term Impact Strategies”.</w:t>
      </w:r>
      <w:r w:rsidDel="00000000" w:rsidR="00000000" w:rsidRPr="00000000">
        <w:rPr>
          <w:rtl w:val="0"/>
        </w:rPr>
      </w:r>
    </w:p>
    <w:p w:rsidR="00000000" w:rsidDel="00000000" w:rsidP="00000000" w:rsidRDefault="00000000" w:rsidRPr="00000000" w14:paraId="00000028">
      <w:pPr>
        <w:pStyle w:val="Heading2"/>
        <w:numPr>
          <w:ilvl w:val="0"/>
          <w:numId w:val="8"/>
        </w:numPr>
        <w:spacing w:before="360" w:line="240" w:lineRule="auto"/>
        <w:ind w:left="720" w:hanging="360"/>
        <w:jc w:val="both"/>
        <w:rPr>
          <w:u w:val="none"/>
        </w:rPr>
      </w:pPr>
      <w:bookmarkStart w:colFirst="0" w:colLast="0" w:name="_gjdgxs" w:id="2"/>
      <w:bookmarkEnd w:id="2"/>
      <w:r w:rsidDel="00000000" w:rsidR="00000000" w:rsidRPr="00000000">
        <w:rPr>
          <w:rtl w:val="0"/>
        </w:rPr>
        <w:t xml:space="preserve">Scope of Work</w:t>
      </w:r>
      <w:r w:rsidDel="00000000" w:rsidR="00000000" w:rsidRPr="00000000">
        <w:rPr>
          <w:rtl w:val="0"/>
        </w:rPr>
        <w:t xml:space="preserve"> : </w:t>
      </w:r>
      <w:r w:rsidDel="00000000" w:rsidR="00000000" w:rsidRPr="00000000">
        <w:rPr>
          <w:rtl w:val="0"/>
        </w:rPr>
        <w:t xml:space="preserve">External Consultancy - Program Sustainability, Exit, and Long-Term Impact Strategies </w:t>
      </w:r>
      <w:r w:rsidDel="00000000" w:rsidR="00000000" w:rsidRPr="00000000">
        <w:rPr>
          <w:rtl w:val="0"/>
        </w:rPr>
      </w:r>
    </w:p>
    <w:p w:rsidR="00000000" w:rsidDel="00000000" w:rsidP="00000000" w:rsidRDefault="00000000" w:rsidRPr="00000000" w14:paraId="00000029">
      <w:pPr>
        <w:pStyle w:val="Heading3"/>
        <w:keepNext w:val="0"/>
        <w:keepLines w:val="0"/>
        <w:spacing w:line="240" w:lineRule="auto"/>
        <w:jc w:val="both"/>
        <w:rPr>
          <w:color w:val="000000"/>
        </w:rPr>
      </w:pPr>
      <w:bookmarkStart w:colFirst="0" w:colLast="0" w:name="_30j0zll" w:id="3"/>
      <w:bookmarkEnd w:id="3"/>
      <w:r w:rsidDel="00000000" w:rsidR="00000000" w:rsidRPr="00000000">
        <w:rPr>
          <w:color w:val="000000"/>
          <w:rtl w:val="0"/>
        </w:rPr>
        <w:t xml:space="preserve">Building Markets is seeking an external consultancy to provide an analysis of program exit, sustainability of results, and long-term impact strategies for its “Sustainable Marketplace” Program in Turkey, focused on refugee and host communities.</w:t>
      </w:r>
      <w:r w:rsidDel="00000000" w:rsidR="00000000" w:rsidRPr="00000000">
        <w:rPr>
          <w:rtl w:val="0"/>
        </w:rPr>
      </w:r>
    </w:p>
    <w:p w:rsidR="00000000" w:rsidDel="00000000" w:rsidP="00000000" w:rsidRDefault="00000000" w:rsidRPr="00000000" w14:paraId="0000002A">
      <w:pPr>
        <w:spacing w:after="0" w:line="240" w:lineRule="auto"/>
        <w:jc w:val="both"/>
        <w:rPr/>
      </w:pPr>
      <w:r w:rsidDel="00000000" w:rsidR="00000000" w:rsidRPr="00000000">
        <w:rPr>
          <w:rtl w:val="0"/>
        </w:rPr>
        <w:t xml:space="preserve">Long-term impact and support to the livelihoods and economic development prospects of refugee and host communities in Turkey is vitally important from the perspective of maintaining and increasing the economic contributions of refugees to the Turkish economy, improving social cohesion, and potential future reconstruction and economic development in the home country.</w:t>
      </w:r>
    </w:p>
    <w:p w:rsidR="00000000" w:rsidDel="00000000" w:rsidP="00000000" w:rsidRDefault="00000000" w:rsidRPr="00000000" w14:paraId="0000002B">
      <w:pPr>
        <w:spacing w:after="0" w:line="240" w:lineRule="auto"/>
        <w:jc w:val="both"/>
        <w:rPr/>
      </w:pPr>
      <w:r w:rsidDel="00000000" w:rsidR="00000000" w:rsidRPr="00000000">
        <w:rPr>
          <w:rtl w:val="0"/>
        </w:rPr>
      </w:r>
    </w:p>
    <w:p w:rsidR="00000000" w:rsidDel="00000000" w:rsidP="00000000" w:rsidRDefault="00000000" w:rsidRPr="00000000" w14:paraId="0000002C">
      <w:pPr>
        <w:spacing w:after="0" w:line="240" w:lineRule="auto"/>
        <w:jc w:val="both"/>
        <w:rPr/>
      </w:pPr>
      <w:r w:rsidDel="00000000" w:rsidR="00000000" w:rsidRPr="00000000">
        <w:rPr>
          <w:rtl w:val="0"/>
        </w:rPr>
        <w:t xml:space="preserve">The objective of the consultancy is to equip Building Markets with a plan to implement sustainability and exit strategies at the start of the next phase of its programming (anticipated in September 2022). The consultancy will be requested to put forward a methodology based on best and leading practices. </w:t>
      </w:r>
    </w:p>
    <w:p w:rsidR="00000000" w:rsidDel="00000000" w:rsidP="00000000" w:rsidRDefault="00000000" w:rsidRPr="00000000" w14:paraId="0000002D">
      <w:pPr>
        <w:spacing w:after="0" w:line="240" w:lineRule="auto"/>
        <w:jc w:val="both"/>
        <w:rPr/>
      </w:pPr>
      <w:r w:rsidDel="00000000" w:rsidR="00000000" w:rsidRPr="00000000">
        <w:rPr>
          <w:rtl w:val="0"/>
        </w:rPr>
      </w:r>
    </w:p>
    <w:p w:rsidR="00000000" w:rsidDel="00000000" w:rsidP="00000000" w:rsidRDefault="00000000" w:rsidRPr="00000000" w14:paraId="0000002E">
      <w:pPr>
        <w:spacing w:after="0" w:line="240" w:lineRule="auto"/>
        <w:jc w:val="both"/>
        <w:rPr>
          <w:rFonts w:ascii="Helvetica Neue Light" w:cs="Helvetica Neue Light" w:eastAsia="Helvetica Neue Light" w:hAnsi="Helvetica Neue Light"/>
          <w:sz w:val="22"/>
          <w:szCs w:val="22"/>
        </w:rPr>
      </w:pPr>
      <w:r w:rsidDel="00000000" w:rsidR="00000000" w:rsidRPr="00000000">
        <w:rPr>
          <w:rtl w:val="0"/>
        </w:rPr>
        <w:t xml:space="preserve">The consultancy should examine the existing exit and sustainability plan to provide recommendations for improvement, determine the exit and sustainability plan and documentation for each service, and provide recommendations on how to engage local stakeholders in the exit and sustainability effort. </w:t>
      </w:r>
      <w:r w:rsidDel="00000000" w:rsidR="00000000" w:rsidRPr="00000000">
        <w:rPr>
          <w:rFonts w:ascii="Helvetica Neue Light" w:cs="Helvetica Neue Light" w:eastAsia="Helvetica Neue Light" w:hAnsi="Helvetica Neue Light"/>
          <w:sz w:val="22"/>
          <w:szCs w:val="22"/>
          <w:rtl w:val="0"/>
        </w:rPr>
        <w:t xml:space="preserve"> </w:t>
      </w:r>
    </w:p>
    <w:p w:rsidR="00000000" w:rsidDel="00000000" w:rsidP="00000000" w:rsidRDefault="00000000" w:rsidRPr="00000000" w14:paraId="0000002F">
      <w:pPr>
        <w:spacing w:after="0" w:line="240" w:lineRule="auto"/>
        <w:jc w:val="both"/>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30">
      <w:pPr>
        <w:numPr>
          <w:ilvl w:val="0"/>
          <w:numId w:val="8"/>
        </w:numPr>
        <w:spacing w:after="0" w:line="240" w:lineRule="auto"/>
        <w:ind w:left="720" w:hanging="360"/>
        <w:jc w:val="both"/>
        <w:rPr>
          <w:color w:val="365f91"/>
          <w:sz w:val="28"/>
          <w:szCs w:val="28"/>
          <w:u w:val="none"/>
        </w:rPr>
      </w:pPr>
      <w:r w:rsidDel="00000000" w:rsidR="00000000" w:rsidRPr="00000000">
        <w:rPr>
          <w:color w:val="365f91"/>
          <w:sz w:val="28"/>
          <w:szCs w:val="28"/>
          <w:rtl w:val="0"/>
        </w:rPr>
        <w:t xml:space="preserve">Key Deliverables: </w:t>
      </w:r>
      <w:r w:rsidDel="00000000" w:rsidR="00000000" w:rsidRPr="00000000">
        <w:rPr>
          <w:rtl w:val="0"/>
        </w:rPr>
      </w:r>
    </w:p>
    <w:p w:rsidR="00000000" w:rsidDel="00000000" w:rsidP="00000000" w:rsidRDefault="00000000" w:rsidRPr="00000000" w14:paraId="00000031">
      <w:pPr>
        <w:spacing w:after="0" w:line="240" w:lineRule="auto"/>
        <w:jc w:val="both"/>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32">
      <w:pPr>
        <w:numPr>
          <w:ilvl w:val="0"/>
          <w:numId w:val="6"/>
        </w:numPr>
        <w:spacing w:after="0" w:line="240" w:lineRule="auto"/>
        <w:ind w:left="720" w:hanging="360"/>
        <w:jc w:val="both"/>
        <w:rPr>
          <w:rFonts w:ascii="Helvetica Neue Light" w:cs="Helvetica Neue Light" w:eastAsia="Helvetica Neue Light" w:hAnsi="Helvetica Neue Light"/>
          <w:color w:val="000000"/>
          <w:sz w:val="22"/>
          <w:szCs w:val="22"/>
        </w:rPr>
      </w:pPr>
      <w:r w:rsidDel="00000000" w:rsidR="00000000" w:rsidRPr="00000000">
        <w:rPr>
          <w:rtl w:val="0"/>
        </w:rPr>
        <w:t xml:space="preserve">Detailed methodology brief, developed in consultation with Building Markets and designated stakeholders, and approved by Building Markets and its designees (e.g., donor, partners, experts, etc.)</w:t>
      </w:r>
    </w:p>
    <w:p w:rsidR="00000000" w:rsidDel="00000000" w:rsidP="00000000" w:rsidRDefault="00000000" w:rsidRPr="00000000" w14:paraId="00000033">
      <w:pPr>
        <w:numPr>
          <w:ilvl w:val="0"/>
          <w:numId w:val="6"/>
        </w:numPr>
        <w:spacing w:after="0" w:line="240" w:lineRule="auto"/>
        <w:ind w:left="720" w:hanging="360"/>
        <w:jc w:val="both"/>
        <w:rPr>
          <w:rFonts w:ascii="Helvetica Neue Light" w:cs="Helvetica Neue Light" w:eastAsia="Helvetica Neue Light" w:hAnsi="Helvetica Neue Light"/>
          <w:color w:val="000000"/>
          <w:sz w:val="22"/>
          <w:szCs w:val="22"/>
        </w:rPr>
      </w:pPr>
      <w:r w:rsidDel="00000000" w:rsidR="00000000" w:rsidRPr="00000000">
        <w:rPr>
          <w:rtl w:val="0"/>
        </w:rPr>
        <w:t xml:space="preserve">Use various participatory assessment tools and strategies (e.g., focus groups, interviews, literature review, program documentation review, etc.)</w:t>
      </w:r>
    </w:p>
    <w:p w:rsidR="00000000" w:rsidDel="00000000" w:rsidP="00000000" w:rsidRDefault="00000000" w:rsidRPr="00000000" w14:paraId="00000034">
      <w:pPr>
        <w:numPr>
          <w:ilvl w:val="0"/>
          <w:numId w:val="6"/>
        </w:numPr>
        <w:spacing w:after="0" w:line="240" w:lineRule="auto"/>
        <w:ind w:left="720" w:hanging="360"/>
        <w:jc w:val="both"/>
        <w:rPr>
          <w:rFonts w:ascii="Helvetica Neue Light" w:cs="Helvetica Neue Light" w:eastAsia="Helvetica Neue Light" w:hAnsi="Helvetica Neue Light"/>
          <w:color w:val="000000"/>
          <w:sz w:val="22"/>
          <w:szCs w:val="22"/>
        </w:rPr>
      </w:pPr>
      <w:r w:rsidDel="00000000" w:rsidR="00000000" w:rsidRPr="00000000">
        <w:rPr>
          <w:rtl w:val="0"/>
        </w:rPr>
        <w:t xml:space="preserve">Detailed and actionable exit and sustainability strategy, linked to the program services, process, and impact metrics, including metrics to track the progress of proposed strategy</w:t>
      </w:r>
    </w:p>
    <w:p w:rsidR="00000000" w:rsidDel="00000000" w:rsidP="00000000" w:rsidRDefault="00000000" w:rsidRPr="00000000" w14:paraId="00000035">
      <w:pPr>
        <w:numPr>
          <w:ilvl w:val="0"/>
          <w:numId w:val="6"/>
        </w:numPr>
        <w:spacing w:after="0" w:line="240" w:lineRule="auto"/>
        <w:ind w:left="720" w:hanging="360"/>
        <w:jc w:val="both"/>
        <w:rPr>
          <w:rFonts w:ascii="Helvetica Neue Light" w:cs="Helvetica Neue Light" w:eastAsia="Helvetica Neue Light" w:hAnsi="Helvetica Neue Light"/>
          <w:color w:val="000000"/>
          <w:sz w:val="22"/>
          <w:szCs w:val="22"/>
        </w:rPr>
      </w:pPr>
      <w:r w:rsidDel="00000000" w:rsidR="00000000" w:rsidRPr="00000000">
        <w:rPr>
          <w:rtl w:val="0"/>
        </w:rPr>
        <w:t xml:space="preserve">Debriefing/presentation to Building Markets and its designees (e.g., donor, partners, experts, etc.)</w:t>
      </w:r>
    </w:p>
    <w:p w:rsidR="00000000" w:rsidDel="00000000" w:rsidP="00000000" w:rsidRDefault="00000000" w:rsidRPr="00000000" w14:paraId="00000036">
      <w:pPr>
        <w:spacing w:after="0" w:line="240" w:lineRule="auto"/>
        <w:ind w:left="720" w:firstLine="0"/>
        <w:jc w:val="both"/>
        <w:rPr/>
      </w:pPr>
      <w:r w:rsidDel="00000000" w:rsidR="00000000" w:rsidRPr="00000000">
        <w:rPr>
          <w:rtl w:val="0"/>
        </w:rPr>
      </w:r>
    </w:p>
    <w:p w:rsidR="00000000" w:rsidDel="00000000" w:rsidP="00000000" w:rsidRDefault="00000000" w:rsidRPr="00000000" w14:paraId="00000037">
      <w:pPr>
        <w:pStyle w:val="Heading2"/>
        <w:numPr>
          <w:ilvl w:val="0"/>
          <w:numId w:val="8"/>
        </w:numPr>
        <w:shd w:fill="ffffff" w:val="clear"/>
        <w:spacing w:after="80" w:before="0" w:line="240" w:lineRule="auto"/>
        <w:ind w:left="720" w:hanging="360"/>
        <w:jc w:val="both"/>
        <w:rPr>
          <w:u w:val="none"/>
        </w:rPr>
      </w:pPr>
      <w:bookmarkStart w:colFirst="0" w:colLast="0" w:name="_1fob9te" w:id="4"/>
      <w:bookmarkEnd w:id="4"/>
      <w:r w:rsidDel="00000000" w:rsidR="00000000" w:rsidRPr="00000000">
        <w:rPr>
          <w:rtl w:val="0"/>
        </w:rPr>
        <w:t xml:space="preserve">Required Qualifications</w:t>
      </w:r>
    </w:p>
    <w:p w:rsidR="00000000" w:rsidDel="00000000" w:rsidP="00000000" w:rsidRDefault="00000000" w:rsidRPr="00000000" w14:paraId="00000038">
      <w:pPr>
        <w:numPr>
          <w:ilvl w:val="0"/>
          <w:numId w:val="9"/>
        </w:numPr>
        <w:shd w:fill="ffffff" w:val="clear"/>
        <w:spacing w:after="0" w:before="240" w:line="240" w:lineRule="auto"/>
        <w:ind w:left="720" w:hanging="360"/>
        <w:jc w:val="both"/>
        <w:rPr>
          <w:rFonts w:ascii="Helvetica Neue Light" w:cs="Helvetica Neue Light" w:eastAsia="Helvetica Neue Light" w:hAnsi="Helvetica Neue Light"/>
          <w:color w:val="212529"/>
          <w:sz w:val="22"/>
          <w:szCs w:val="22"/>
          <w:highlight w:val="white"/>
        </w:rPr>
      </w:pPr>
      <w:r w:rsidDel="00000000" w:rsidR="00000000" w:rsidRPr="00000000">
        <w:rPr>
          <w:rtl w:val="0"/>
        </w:rPr>
        <w:t xml:space="preserve">Previous experience developing sustainability and exit strategies, with at least three specific examples to cite</w:t>
      </w:r>
    </w:p>
    <w:p w:rsidR="00000000" w:rsidDel="00000000" w:rsidP="00000000" w:rsidRDefault="00000000" w:rsidRPr="00000000" w14:paraId="00000039">
      <w:pPr>
        <w:numPr>
          <w:ilvl w:val="0"/>
          <w:numId w:val="9"/>
        </w:numPr>
        <w:shd w:fill="ffffff" w:val="clear"/>
        <w:spacing w:after="0" w:line="240" w:lineRule="auto"/>
        <w:ind w:left="720" w:hanging="360"/>
        <w:jc w:val="both"/>
        <w:rPr>
          <w:rFonts w:ascii="Helvetica Neue Light" w:cs="Helvetica Neue Light" w:eastAsia="Helvetica Neue Light" w:hAnsi="Helvetica Neue Light"/>
          <w:color w:val="212529"/>
          <w:sz w:val="22"/>
          <w:szCs w:val="22"/>
          <w:highlight w:val="white"/>
        </w:rPr>
      </w:pPr>
      <w:r w:rsidDel="00000000" w:rsidR="00000000" w:rsidRPr="00000000">
        <w:rPr>
          <w:rtl w:val="0"/>
        </w:rPr>
        <w:t xml:space="preserve">Comprehensive experience with conducting project evaluations specifically focusing on recommendations and analysis</w:t>
      </w:r>
    </w:p>
    <w:p w:rsidR="00000000" w:rsidDel="00000000" w:rsidP="00000000" w:rsidRDefault="00000000" w:rsidRPr="00000000" w14:paraId="0000003A">
      <w:pPr>
        <w:numPr>
          <w:ilvl w:val="0"/>
          <w:numId w:val="9"/>
        </w:numPr>
        <w:shd w:fill="ffffff" w:val="clear"/>
        <w:spacing w:after="0" w:line="240" w:lineRule="auto"/>
        <w:ind w:left="720" w:hanging="360"/>
        <w:jc w:val="both"/>
        <w:rPr>
          <w:rFonts w:ascii="Helvetica Neue Light" w:cs="Helvetica Neue Light" w:eastAsia="Helvetica Neue Light" w:hAnsi="Helvetica Neue Light"/>
          <w:color w:val="212529"/>
          <w:sz w:val="22"/>
          <w:szCs w:val="22"/>
          <w:highlight w:val="white"/>
        </w:rPr>
      </w:pPr>
      <w:r w:rsidDel="00000000" w:rsidR="00000000" w:rsidRPr="00000000">
        <w:rPr>
          <w:rtl w:val="0"/>
        </w:rPr>
        <w:t xml:space="preserve">Background in international development, with a minimum of five years of working on projects focused on livelihoods and economic development and field-based monitoring and evaluation </w:t>
      </w:r>
    </w:p>
    <w:p w:rsidR="00000000" w:rsidDel="00000000" w:rsidP="00000000" w:rsidRDefault="00000000" w:rsidRPr="00000000" w14:paraId="0000003B">
      <w:pPr>
        <w:numPr>
          <w:ilvl w:val="0"/>
          <w:numId w:val="9"/>
        </w:numPr>
        <w:shd w:fill="ffffff" w:val="clear"/>
        <w:spacing w:after="0" w:line="240" w:lineRule="auto"/>
        <w:ind w:left="720" w:hanging="360"/>
        <w:jc w:val="both"/>
        <w:rPr>
          <w:rFonts w:ascii="Helvetica Neue Light" w:cs="Helvetica Neue Light" w:eastAsia="Helvetica Neue Light" w:hAnsi="Helvetica Neue Light"/>
          <w:color w:val="212529"/>
          <w:sz w:val="22"/>
          <w:szCs w:val="22"/>
          <w:highlight w:val="white"/>
        </w:rPr>
      </w:pPr>
      <w:r w:rsidDel="00000000" w:rsidR="00000000" w:rsidRPr="00000000">
        <w:rPr>
          <w:rtl w:val="0"/>
        </w:rPr>
        <w:t xml:space="preserve">Prior experience of working in Turkey with refugee populations, or similar context.</w:t>
      </w:r>
    </w:p>
    <w:p w:rsidR="00000000" w:rsidDel="00000000" w:rsidP="00000000" w:rsidRDefault="00000000" w:rsidRPr="00000000" w14:paraId="0000003C">
      <w:pPr>
        <w:numPr>
          <w:ilvl w:val="0"/>
          <w:numId w:val="9"/>
        </w:numPr>
        <w:shd w:fill="ffffff" w:val="clear"/>
        <w:spacing w:after="0" w:line="240" w:lineRule="auto"/>
        <w:ind w:left="720" w:hanging="360"/>
        <w:jc w:val="both"/>
        <w:rPr>
          <w:rFonts w:ascii="Helvetica Neue Light" w:cs="Helvetica Neue Light" w:eastAsia="Helvetica Neue Light" w:hAnsi="Helvetica Neue Light"/>
          <w:color w:val="212529"/>
          <w:sz w:val="22"/>
          <w:szCs w:val="22"/>
          <w:highlight w:val="white"/>
        </w:rPr>
      </w:pPr>
      <w:r w:rsidDel="00000000" w:rsidR="00000000" w:rsidRPr="00000000">
        <w:rPr>
          <w:rtl w:val="0"/>
        </w:rPr>
        <w:t xml:space="preserve">Written and spoken proficiency in English.</w:t>
      </w:r>
    </w:p>
    <w:p w:rsidR="00000000" w:rsidDel="00000000" w:rsidP="00000000" w:rsidRDefault="00000000" w:rsidRPr="00000000" w14:paraId="0000003D">
      <w:pPr>
        <w:shd w:fill="ffffff" w:val="clear"/>
        <w:spacing w:after="0" w:line="240" w:lineRule="auto"/>
        <w:ind w:left="720" w:firstLine="0"/>
        <w:jc w:val="both"/>
        <w:rPr/>
      </w:pPr>
      <w:r w:rsidDel="00000000" w:rsidR="00000000" w:rsidRPr="00000000">
        <w:rPr>
          <w:rtl w:val="0"/>
        </w:rPr>
      </w:r>
    </w:p>
    <w:p w:rsidR="00000000" w:rsidDel="00000000" w:rsidP="00000000" w:rsidRDefault="00000000" w:rsidRPr="00000000" w14:paraId="0000003E">
      <w:pPr>
        <w:pStyle w:val="Heading2"/>
        <w:keepNext w:val="1"/>
        <w:keepLines w:val="1"/>
        <w:pageBreakBefore w:val="0"/>
        <w:widowControl w:val="1"/>
        <w:numPr>
          <w:ilvl w:val="0"/>
          <w:numId w:val="8"/>
        </w:numPr>
        <w:pBdr>
          <w:top w:space="0" w:sz="0" w:val="nil"/>
          <w:left w:space="0" w:sz="0" w:val="nil"/>
          <w:bottom w:space="0" w:sz="0" w:val="nil"/>
          <w:right w:space="0" w:sz="0" w:val="nil"/>
          <w:between w:space="0" w:sz="0" w:val="nil"/>
        </w:pBdr>
        <w:shd w:fill="ffffff" w:val="clear"/>
        <w:spacing w:after="80" w:before="0" w:line="240" w:lineRule="auto"/>
        <w:ind w:left="720" w:right="0" w:hanging="360"/>
        <w:jc w:val="both"/>
        <w:rPr>
          <w:u w:val="none"/>
        </w:rPr>
      </w:pPr>
      <w:bookmarkStart w:colFirst="0" w:colLast="0" w:name="_oq6hcukiq48q" w:id="5"/>
      <w:bookmarkEnd w:id="5"/>
      <w:r w:rsidDel="00000000" w:rsidR="00000000" w:rsidRPr="00000000">
        <w:rPr>
          <w:rtl w:val="0"/>
        </w:rPr>
        <w:t xml:space="preserve">Submission Instructions</w:t>
      </w:r>
    </w:p>
    <w:p w:rsidR="00000000" w:rsidDel="00000000" w:rsidP="00000000" w:rsidRDefault="00000000" w:rsidRPr="00000000" w14:paraId="0000003F">
      <w:pPr>
        <w:spacing w:line="276" w:lineRule="auto"/>
        <w:jc w:val="both"/>
        <w:rPr>
          <w:rFonts w:ascii="Helvetica Neue Light" w:cs="Helvetica Neue Light" w:eastAsia="Helvetica Neue Light" w:hAnsi="Helvetica Neue Light"/>
          <w:sz w:val="22"/>
          <w:szCs w:val="22"/>
        </w:rPr>
      </w:pPr>
      <w:r w:rsidDel="00000000" w:rsidR="00000000" w:rsidRPr="00000000">
        <w:rPr>
          <w:rtl w:val="0"/>
        </w:rPr>
        <w:t xml:space="preserve">To respond to this RFQ, prospective suppliers are required to submit the following documents:</w:t>
      </w:r>
      <w:r w:rsidDel="00000000" w:rsidR="00000000" w:rsidRPr="00000000">
        <w:rPr>
          <w:rtl w:val="0"/>
        </w:rPr>
      </w:r>
    </w:p>
    <w:tbl>
      <w:tblPr>
        <w:tblStyle w:val="Table2"/>
        <w:tblW w:w="1009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8310"/>
        <w:tblGridChange w:id="0">
          <w:tblGrid>
            <w:gridCol w:w="1785"/>
            <w:gridCol w:w="83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line="240" w:lineRule="auto"/>
              <w:jc w:val="both"/>
              <w:rPr/>
            </w:pPr>
            <w:r w:rsidDel="00000000" w:rsidR="00000000" w:rsidRPr="00000000">
              <w:rPr>
                <w:rtl w:val="0"/>
              </w:rPr>
              <w:t xml:space="preserve">Email submission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after="0" w:line="240" w:lineRule="auto"/>
              <w:jc w:val="both"/>
              <w:rPr/>
            </w:pPr>
            <w:r w:rsidDel="00000000" w:rsidR="00000000" w:rsidRPr="00000000">
              <w:rPr>
                <w:rtl w:val="0"/>
              </w:rPr>
              <w:t xml:space="preserve">Email your technical and financial proposal to</w:t>
            </w:r>
            <w:r w:rsidDel="00000000" w:rsidR="00000000" w:rsidRPr="00000000">
              <w:rPr>
                <w:rtl w:val="0"/>
              </w:rPr>
              <w:t xml:space="preserve"> </w:t>
            </w:r>
            <w:r w:rsidDel="00000000" w:rsidR="00000000" w:rsidRPr="00000000">
              <w:rPr>
                <w:u w:val="single"/>
                <w:rtl w:val="0"/>
              </w:rPr>
              <w:t xml:space="preserve">turkey.tenders</w:t>
            </w:r>
            <w:hyperlink r:id="rId8">
              <w:r w:rsidDel="00000000" w:rsidR="00000000" w:rsidRPr="00000000">
                <w:rPr>
                  <w:u w:val="single"/>
                  <w:rtl w:val="0"/>
                </w:rPr>
                <w:t xml:space="preserve">@buildingmarkets.org</w:t>
              </w:r>
            </w:hyperlink>
            <w:r w:rsidDel="00000000" w:rsidR="00000000" w:rsidRPr="00000000">
              <w:rPr>
                <w:u w:val="single"/>
                <w:rtl w:val="0"/>
              </w:rPr>
              <w:t xml:space="preserve"> </w:t>
            </w:r>
            <w:r w:rsidDel="00000000" w:rsidR="00000000" w:rsidRPr="00000000">
              <w:rPr>
                <w:rtl w:val="0"/>
              </w:rPr>
              <w:t xml:space="preserve">with the subject line RFQ-21-2-21 by 07/18/2022 5:00pm Turkey 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240" w:lineRule="auto"/>
              <w:jc w:val="both"/>
              <w:rPr/>
            </w:pPr>
            <w:r w:rsidDel="00000000" w:rsidR="00000000" w:rsidRPr="00000000">
              <w:rPr>
                <w:rtl w:val="0"/>
              </w:rPr>
              <w:t xml:space="preserve">Submission Checklist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after="0" w:line="240" w:lineRule="auto"/>
              <w:jc w:val="both"/>
              <w:rPr/>
            </w:pPr>
            <w:r w:rsidDel="00000000" w:rsidR="00000000" w:rsidRPr="00000000">
              <w:rPr>
                <w:rtl w:val="0"/>
              </w:rPr>
              <w:t xml:space="preserve">Submissions to include:</w:t>
            </w:r>
          </w:p>
          <w:p w:rsidR="00000000" w:rsidDel="00000000" w:rsidP="00000000" w:rsidRDefault="00000000" w:rsidRPr="00000000" w14:paraId="00000044">
            <w:pPr>
              <w:widowControl w:val="0"/>
              <w:numPr>
                <w:ilvl w:val="0"/>
                <w:numId w:val="1"/>
              </w:numPr>
              <w:spacing w:after="0" w:line="240" w:lineRule="auto"/>
              <w:ind w:left="720" w:hanging="360"/>
              <w:jc w:val="both"/>
              <w:rPr>
                <w:rFonts w:ascii="Helvetica Neue Light" w:cs="Helvetica Neue Light" w:eastAsia="Helvetica Neue Light" w:hAnsi="Helvetica Neue Light"/>
                <w:sz w:val="22"/>
                <w:szCs w:val="22"/>
              </w:rPr>
            </w:pPr>
            <w:r w:rsidDel="00000000" w:rsidR="00000000" w:rsidRPr="00000000">
              <w:rPr>
                <w:rtl w:val="0"/>
              </w:rPr>
              <w:t xml:space="preserve">Financial Proposal:</w:t>
            </w:r>
          </w:p>
          <w:p w:rsidR="00000000" w:rsidDel="00000000" w:rsidP="00000000" w:rsidRDefault="00000000" w:rsidRPr="00000000" w14:paraId="00000045">
            <w:pPr>
              <w:widowControl w:val="0"/>
              <w:numPr>
                <w:ilvl w:val="1"/>
                <w:numId w:val="1"/>
              </w:numPr>
              <w:spacing w:after="0" w:line="240" w:lineRule="auto"/>
              <w:ind w:left="1440" w:hanging="360"/>
              <w:jc w:val="both"/>
              <w:rPr>
                <w:rFonts w:ascii="Helvetica Neue Light" w:cs="Helvetica Neue Light" w:eastAsia="Helvetica Neue Light" w:hAnsi="Helvetica Neue Light"/>
                <w:sz w:val="22"/>
                <w:szCs w:val="22"/>
              </w:rPr>
            </w:pPr>
            <w:r w:rsidDel="00000000" w:rsidR="00000000" w:rsidRPr="00000000">
              <w:rPr>
                <w:rtl w:val="0"/>
              </w:rPr>
              <w:t xml:space="preserve">Price offer to include all relevant taxes, including VAT,</w:t>
            </w:r>
          </w:p>
          <w:p w:rsidR="00000000" w:rsidDel="00000000" w:rsidP="00000000" w:rsidRDefault="00000000" w:rsidRPr="00000000" w14:paraId="00000046">
            <w:pPr>
              <w:numPr>
                <w:ilvl w:val="1"/>
                <w:numId w:val="1"/>
              </w:numPr>
              <w:shd w:fill="ffffff" w:val="clear"/>
              <w:spacing w:after="0" w:line="240" w:lineRule="auto"/>
              <w:ind w:left="1440" w:hanging="360"/>
              <w:jc w:val="both"/>
              <w:rPr>
                <w:rFonts w:ascii="Helvetica Neue Light" w:cs="Helvetica Neue Light" w:eastAsia="Helvetica Neue Light" w:hAnsi="Helvetica Neue Light"/>
                <w:sz w:val="22"/>
                <w:szCs w:val="22"/>
              </w:rPr>
            </w:pPr>
            <w:r w:rsidDel="00000000" w:rsidR="00000000" w:rsidRPr="00000000">
              <w:rPr>
                <w:rtl w:val="0"/>
              </w:rPr>
              <w:t xml:space="preserve">Financial Offer including a cost breakdown,</w:t>
            </w:r>
          </w:p>
          <w:p w:rsidR="00000000" w:rsidDel="00000000" w:rsidP="00000000" w:rsidRDefault="00000000" w:rsidRPr="00000000" w14:paraId="00000047">
            <w:pPr>
              <w:widowControl w:val="0"/>
              <w:numPr>
                <w:ilvl w:val="1"/>
                <w:numId w:val="1"/>
              </w:numPr>
              <w:spacing w:after="0" w:line="240" w:lineRule="auto"/>
              <w:ind w:left="1440" w:hanging="360"/>
              <w:jc w:val="both"/>
              <w:rPr>
                <w:rFonts w:ascii="Helvetica Neue Light" w:cs="Helvetica Neue Light" w:eastAsia="Helvetica Neue Light" w:hAnsi="Helvetica Neue Light"/>
                <w:sz w:val="22"/>
                <w:szCs w:val="22"/>
              </w:rPr>
            </w:pPr>
            <w:r w:rsidDel="00000000" w:rsidR="00000000" w:rsidRPr="00000000">
              <w:rPr>
                <w:rtl w:val="0"/>
              </w:rPr>
              <w:t xml:space="preserve">The consultant(s) shall suggest the global price in Turkish Lira (per position if an evaluation team applies) and the number of days predicted for the work,</w:t>
            </w:r>
          </w:p>
          <w:p w:rsidR="00000000" w:rsidDel="00000000" w:rsidP="00000000" w:rsidRDefault="00000000" w:rsidRPr="00000000" w14:paraId="00000048">
            <w:pPr>
              <w:numPr>
                <w:ilvl w:val="1"/>
                <w:numId w:val="1"/>
              </w:numPr>
              <w:shd w:fill="ffffff" w:val="clear"/>
              <w:spacing w:after="0" w:line="240" w:lineRule="auto"/>
              <w:ind w:left="1440" w:hanging="360"/>
              <w:jc w:val="both"/>
              <w:rPr>
                <w:rFonts w:ascii="Helvetica Neue Light" w:cs="Helvetica Neue Light" w:eastAsia="Helvetica Neue Light" w:hAnsi="Helvetica Neue Light"/>
                <w:sz w:val="22"/>
                <w:szCs w:val="22"/>
              </w:rPr>
            </w:pPr>
            <w:r w:rsidDel="00000000" w:rsidR="00000000" w:rsidRPr="00000000">
              <w:rPr>
                <w:rtl w:val="0"/>
              </w:rPr>
              <w:t xml:space="preserve">The global price must include all administrative costs (such as but not limited to backstopping costs, insurance, reports, communication costs, rent for Contractor’s facilities), as well as a breakdown of travel, allowances, and accommodation expenses, if relevant,</w:t>
            </w:r>
          </w:p>
          <w:p w:rsidR="00000000" w:rsidDel="00000000" w:rsidP="00000000" w:rsidRDefault="00000000" w:rsidRPr="00000000" w14:paraId="00000049">
            <w:pPr>
              <w:numPr>
                <w:ilvl w:val="1"/>
                <w:numId w:val="1"/>
              </w:numPr>
              <w:shd w:fill="ffffff" w:val="clear"/>
              <w:spacing w:after="0" w:line="240" w:lineRule="auto"/>
              <w:ind w:left="1440" w:hanging="360"/>
              <w:jc w:val="both"/>
              <w:rPr>
                <w:rFonts w:ascii="Helvetica Neue Light" w:cs="Helvetica Neue Light" w:eastAsia="Helvetica Neue Light" w:hAnsi="Helvetica Neue Light"/>
                <w:sz w:val="22"/>
                <w:szCs w:val="22"/>
              </w:rPr>
            </w:pPr>
            <w:r w:rsidDel="00000000" w:rsidR="00000000" w:rsidRPr="00000000">
              <w:rPr>
                <w:rtl w:val="0"/>
              </w:rPr>
              <w:t xml:space="preserve">Prices must be in gross amount (free of all duties, taxes, and other charges, including VAT). The amount of VAT must be shown separately.</w:t>
            </w:r>
          </w:p>
          <w:p w:rsidR="00000000" w:rsidDel="00000000" w:rsidP="00000000" w:rsidRDefault="00000000" w:rsidRPr="00000000" w14:paraId="0000004A">
            <w:pPr>
              <w:widowControl w:val="0"/>
              <w:numPr>
                <w:ilvl w:val="0"/>
                <w:numId w:val="1"/>
              </w:numPr>
              <w:spacing w:after="0" w:line="240" w:lineRule="auto"/>
              <w:ind w:left="720" w:hanging="360"/>
              <w:jc w:val="both"/>
              <w:rPr>
                <w:rFonts w:ascii="Helvetica Neue Light" w:cs="Helvetica Neue Light" w:eastAsia="Helvetica Neue Light" w:hAnsi="Helvetica Neue Light"/>
                <w:sz w:val="22"/>
                <w:szCs w:val="22"/>
              </w:rPr>
            </w:pPr>
            <w:r w:rsidDel="00000000" w:rsidR="00000000" w:rsidRPr="00000000">
              <w:rPr>
                <w:rtl w:val="0"/>
              </w:rPr>
              <w:t xml:space="preserve">Cover letter</w:t>
            </w:r>
          </w:p>
          <w:p w:rsidR="00000000" w:rsidDel="00000000" w:rsidP="00000000" w:rsidRDefault="00000000" w:rsidRPr="00000000" w14:paraId="0000004B">
            <w:pPr>
              <w:widowControl w:val="0"/>
              <w:numPr>
                <w:ilvl w:val="0"/>
                <w:numId w:val="1"/>
              </w:numPr>
              <w:spacing w:after="0" w:line="240" w:lineRule="auto"/>
              <w:ind w:left="720" w:hanging="360"/>
              <w:jc w:val="both"/>
              <w:rPr>
                <w:rFonts w:ascii="Helvetica Neue Light" w:cs="Helvetica Neue Light" w:eastAsia="Helvetica Neue Light" w:hAnsi="Helvetica Neue Light"/>
                <w:sz w:val="22"/>
                <w:szCs w:val="22"/>
              </w:rPr>
            </w:pPr>
            <w:r w:rsidDel="00000000" w:rsidR="00000000" w:rsidRPr="00000000">
              <w:rPr>
                <w:rtl w:val="0"/>
              </w:rPr>
              <w:t xml:space="preserve">A technical proposal covering all aspects and tasks required in the TOR. The technical offer must include:</w:t>
            </w:r>
          </w:p>
          <w:p w:rsidR="00000000" w:rsidDel="00000000" w:rsidP="00000000" w:rsidRDefault="00000000" w:rsidRPr="00000000" w14:paraId="0000004C">
            <w:pPr>
              <w:widowControl w:val="0"/>
              <w:numPr>
                <w:ilvl w:val="1"/>
                <w:numId w:val="1"/>
              </w:numPr>
              <w:spacing w:after="0" w:line="240" w:lineRule="auto"/>
              <w:ind w:left="1440" w:hanging="360"/>
              <w:jc w:val="both"/>
              <w:rPr>
                <w:rFonts w:ascii="Helvetica Neue Light" w:cs="Helvetica Neue Light" w:eastAsia="Helvetica Neue Light" w:hAnsi="Helvetica Neue Light"/>
                <w:sz w:val="22"/>
                <w:szCs w:val="22"/>
              </w:rPr>
            </w:pPr>
            <w:r w:rsidDel="00000000" w:rsidR="00000000" w:rsidRPr="00000000">
              <w:rPr>
                <w:rtl w:val="0"/>
              </w:rPr>
              <w:t xml:space="preserve">Ability to deliver on the scope of work,</w:t>
            </w:r>
          </w:p>
          <w:p w:rsidR="00000000" w:rsidDel="00000000" w:rsidP="00000000" w:rsidRDefault="00000000" w:rsidRPr="00000000" w14:paraId="0000004D">
            <w:pPr>
              <w:numPr>
                <w:ilvl w:val="1"/>
                <w:numId w:val="1"/>
              </w:numPr>
              <w:shd w:fill="ffffff" w:val="clear"/>
              <w:spacing w:after="0" w:line="240" w:lineRule="auto"/>
              <w:ind w:left="1440" w:hanging="360"/>
              <w:jc w:val="both"/>
              <w:rPr>
                <w:rFonts w:ascii="Helvetica Neue Light" w:cs="Helvetica Neue Light" w:eastAsia="Helvetica Neue Light" w:hAnsi="Helvetica Neue Light"/>
                <w:sz w:val="22"/>
                <w:szCs w:val="22"/>
              </w:rPr>
            </w:pPr>
            <w:r w:rsidDel="00000000" w:rsidR="00000000" w:rsidRPr="00000000">
              <w:rPr>
                <w:rtl w:val="0"/>
              </w:rPr>
              <w:t xml:space="preserve">Approach, methods, and design, including tentative work plan and division of responsibility (if a team of consultants is applying) suggested by the applicant (3 pages max),</w:t>
            </w:r>
          </w:p>
          <w:p w:rsidR="00000000" w:rsidDel="00000000" w:rsidP="00000000" w:rsidRDefault="00000000" w:rsidRPr="00000000" w14:paraId="0000004E">
            <w:pPr>
              <w:numPr>
                <w:ilvl w:val="1"/>
                <w:numId w:val="1"/>
              </w:numPr>
              <w:shd w:fill="ffffff" w:val="clear"/>
              <w:spacing w:after="0" w:line="240" w:lineRule="auto"/>
              <w:ind w:left="1440" w:hanging="360"/>
              <w:jc w:val="both"/>
              <w:rPr>
                <w:rFonts w:ascii="Helvetica Neue Light" w:cs="Helvetica Neue Light" w:eastAsia="Helvetica Neue Light" w:hAnsi="Helvetica Neue Light"/>
                <w:sz w:val="22"/>
                <w:szCs w:val="22"/>
              </w:rPr>
            </w:pPr>
            <w:r w:rsidDel="00000000" w:rsidR="00000000" w:rsidRPr="00000000">
              <w:rPr>
                <w:rtl w:val="0"/>
              </w:rPr>
              <w:t xml:space="preserve">Previous reports by the applicant as noted under qualifications,</w:t>
            </w:r>
          </w:p>
          <w:p w:rsidR="00000000" w:rsidDel="00000000" w:rsidP="00000000" w:rsidRDefault="00000000" w:rsidRPr="00000000" w14:paraId="0000004F">
            <w:pPr>
              <w:widowControl w:val="0"/>
              <w:numPr>
                <w:ilvl w:val="1"/>
                <w:numId w:val="1"/>
              </w:numPr>
              <w:spacing w:after="0" w:line="240" w:lineRule="auto"/>
              <w:ind w:left="1440" w:hanging="360"/>
              <w:jc w:val="both"/>
              <w:rPr>
                <w:rFonts w:ascii="Helvetica Neue Light" w:cs="Helvetica Neue Light" w:eastAsia="Helvetica Neue Light" w:hAnsi="Helvetica Neue Light"/>
                <w:sz w:val="22"/>
                <w:szCs w:val="22"/>
              </w:rPr>
            </w:pPr>
            <w:r w:rsidDel="00000000" w:rsidR="00000000" w:rsidRPr="00000000">
              <w:rPr>
                <w:rtl w:val="0"/>
              </w:rPr>
              <w:t xml:space="preserve">Detailed work breakdown structure &amp; timeline, including the level of effort and availability required from Building Markets team members,</w:t>
            </w:r>
          </w:p>
          <w:p w:rsidR="00000000" w:rsidDel="00000000" w:rsidP="00000000" w:rsidRDefault="00000000" w:rsidRPr="00000000" w14:paraId="00000050">
            <w:pPr>
              <w:widowControl w:val="0"/>
              <w:numPr>
                <w:ilvl w:val="1"/>
                <w:numId w:val="1"/>
              </w:numPr>
              <w:spacing w:after="0" w:line="240" w:lineRule="auto"/>
              <w:ind w:left="1440" w:hanging="360"/>
              <w:jc w:val="both"/>
              <w:rPr>
                <w:rFonts w:ascii="Helvetica Neue Light" w:cs="Helvetica Neue Light" w:eastAsia="Helvetica Neue Light" w:hAnsi="Helvetica Neue Light"/>
                <w:sz w:val="22"/>
                <w:szCs w:val="22"/>
              </w:rPr>
            </w:pPr>
            <w:r w:rsidDel="00000000" w:rsidR="00000000" w:rsidRPr="00000000">
              <w:rPr>
                <w:rtl w:val="0"/>
              </w:rPr>
              <w:t xml:space="preserve">Profile of key personnel, including resumes and short bios,</w:t>
            </w:r>
          </w:p>
          <w:p w:rsidR="00000000" w:rsidDel="00000000" w:rsidP="00000000" w:rsidRDefault="00000000" w:rsidRPr="00000000" w14:paraId="00000051">
            <w:pPr>
              <w:widowControl w:val="0"/>
              <w:numPr>
                <w:ilvl w:val="0"/>
                <w:numId w:val="1"/>
              </w:numPr>
              <w:spacing w:after="0" w:line="240" w:lineRule="auto"/>
              <w:ind w:left="720" w:hanging="360"/>
              <w:jc w:val="both"/>
              <w:rPr>
                <w:rFonts w:ascii="Helvetica Neue Light" w:cs="Helvetica Neue Light" w:eastAsia="Helvetica Neue Light" w:hAnsi="Helvetica Neue Light"/>
                <w:sz w:val="22"/>
                <w:szCs w:val="22"/>
              </w:rPr>
            </w:pPr>
            <w:r w:rsidDel="00000000" w:rsidR="00000000" w:rsidRPr="00000000">
              <w:rPr>
                <w:rtl w:val="0"/>
              </w:rPr>
              <w:t xml:space="preserve">Three (3) professional references directly related to the scope of work.</w:t>
            </w:r>
          </w:p>
        </w:tc>
      </w:tr>
    </w:tbl>
    <w:p w:rsidR="00000000" w:rsidDel="00000000" w:rsidP="00000000" w:rsidRDefault="00000000" w:rsidRPr="00000000" w14:paraId="00000052">
      <w:pPr>
        <w:spacing w:after="0" w:line="240" w:lineRule="auto"/>
        <w:jc w:val="both"/>
        <w:rPr>
          <w:rFonts w:ascii="Helvetica Neue Light" w:cs="Helvetica Neue Light" w:eastAsia="Helvetica Neue Light" w:hAnsi="Helvetica Neue Light"/>
          <w:sz w:val="22"/>
          <w:szCs w:val="22"/>
          <w:highlight w:val="white"/>
        </w:rPr>
      </w:pPr>
      <w:r w:rsidDel="00000000" w:rsidR="00000000" w:rsidRPr="00000000">
        <w:rPr>
          <w:rtl w:val="0"/>
        </w:rPr>
      </w:r>
    </w:p>
    <w:p w:rsidR="00000000" w:rsidDel="00000000" w:rsidP="00000000" w:rsidRDefault="00000000" w:rsidRPr="00000000" w14:paraId="00000053">
      <w:pPr>
        <w:pStyle w:val="Heading3"/>
        <w:pageBreakBefore w:val="0"/>
        <w:jc w:val="both"/>
        <w:rPr/>
      </w:pPr>
      <w:bookmarkStart w:colFirst="0" w:colLast="0" w:name="_l16cwyg1qu85" w:id="6"/>
      <w:bookmarkEnd w:id="6"/>
      <w:r w:rsidDel="00000000" w:rsidR="00000000" w:rsidRPr="00000000">
        <w:rPr>
          <w:sz w:val="28"/>
          <w:szCs w:val="28"/>
          <w:rtl w:val="0"/>
        </w:rPr>
        <w:t xml:space="preserve">Goods &amp; Services required </w:t>
      </w:r>
      <w:r w:rsidDel="00000000" w:rsidR="00000000" w:rsidRPr="00000000">
        <w:rPr>
          <w:rtl w:val="0"/>
        </w:rPr>
      </w:r>
    </w:p>
    <w:tbl>
      <w:tblPr>
        <w:tblStyle w:val="Table3"/>
        <w:tblW w:w="100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30"/>
        <w:gridCol w:w="2030"/>
        <w:gridCol w:w="2030"/>
        <w:gridCol w:w="1230"/>
        <w:gridCol w:w="2760"/>
        <w:tblGridChange w:id="0">
          <w:tblGrid>
            <w:gridCol w:w="2030"/>
            <w:gridCol w:w="2030"/>
            <w:gridCol w:w="2030"/>
            <w:gridCol w:w="1230"/>
            <w:gridCol w:w="2760"/>
          </w:tblGrid>
        </w:tblGridChange>
      </w:tblGrid>
      <w:tr>
        <w:trPr>
          <w:cantSplit w:val="0"/>
          <w:tblHeader w:val="0"/>
        </w:trPr>
        <w:tc>
          <w:tcPr>
            <w:shd w:fill="365f91"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ffff"/>
              </w:rPr>
            </w:pPr>
            <w:r w:rsidDel="00000000" w:rsidR="00000000" w:rsidRPr="00000000">
              <w:rPr>
                <w:color w:val="ffffff"/>
                <w:rtl w:val="0"/>
              </w:rPr>
              <w:t xml:space="preserve">Item Number</w:t>
            </w:r>
          </w:p>
        </w:tc>
        <w:tc>
          <w:tcPr>
            <w:shd w:fill="365f91"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ffff"/>
              </w:rPr>
            </w:pPr>
            <w:r w:rsidDel="00000000" w:rsidR="00000000" w:rsidRPr="00000000">
              <w:rPr>
                <w:color w:val="ffffff"/>
                <w:rtl w:val="0"/>
              </w:rPr>
              <w:t xml:space="preserve">Item Description</w:t>
            </w:r>
          </w:p>
        </w:tc>
        <w:tc>
          <w:tcPr>
            <w:shd w:fill="365f91"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ffff"/>
              </w:rPr>
            </w:pPr>
            <w:r w:rsidDel="00000000" w:rsidR="00000000" w:rsidRPr="00000000">
              <w:rPr>
                <w:color w:val="ffffff"/>
                <w:rtl w:val="0"/>
              </w:rPr>
              <w:t xml:space="preserve">Detailed Specs</w:t>
            </w:r>
          </w:p>
        </w:tc>
        <w:tc>
          <w:tcPr>
            <w:shd w:fill="365f91"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ffff"/>
              </w:rPr>
            </w:pPr>
            <w:r w:rsidDel="00000000" w:rsidR="00000000" w:rsidRPr="00000000">
              <w:rPr>
                <w:color w:val="ffffff"/>
                <w:rtl w:val="0"/>
              </w:rPr>
              <w:t xml:space="preserve">Quantity</w:t>
            </w:r>
          </w:p>
        </w:tc>
        <w:tc>
          <w:tcPr>
            <w:shd w:fill="365f91"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ffff"/>
              </w:rPr>
            </w:pPr>
            <w:r w:rsidDel="00000000" w:rsidR="00000000" w:rsidRPr="00000000">
              <w:rPr>
                <w:color w:val="ffffff"/>
                <w:rtl w:val="0"/>
              </w:rPr>
              <w:t xml:space="preserve">Desired Delivery Date / or Supplier ‘Turnaround’ 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Report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As detailed in Section 2 Key Deliverables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19 August 2022</w:t>
            </w:r>
          </w:p>
        </w:tc>
      </w:tr>
    </w:tbl>
    <w:p w:rsidR="00000000" w:rsidDel="00000000" w:rsidP="00000000" w:rsidRDefault="00000000" w:rsidRPr="00000000" w14:paraId="0000005E">
      <w:pPr>
        <w:pageBreakBefore w:val="0"/>
        <w:jc w:val="both"/>
        <w:rPr/>
      </w:pPr>
      <w:r w:rsidDel="00000000" w:rsidR="00000000" w:rsidRPr="00000000">
        <w:rPr>
          <w:rtl w:val="0"/>
        </w:rPr>
      </w:r>
    </w:p>
    <w:p w:rsidR="00000000" w:rsidDel="00000000" w:rsidP="00000000" w:rsidRDefault="00000000" w:rsidRPr="00000000" w14:paraId="0000005F">
      <w:pPr>
        <w:pStyle w:val="Heading3"/>
        <w:pageBreakBefore w:val="0"/>
        <w:jc w:val="both"/>
        <w:rPr>
          <w:rFonts w:ascii="Helvetica Neue Light" w:cs="Helvetica Neue Light" w:eastAsia="Helvetica Neue Light" w:hAnsi="Helvetica Neue Light"/>
          <w:color w:val="000000"/>
          <w:sz w:val="36"/>
          <w:szCs w:val="36"/>
        </w:rPr>
      </w:pPr>
      <w:bookmarkStart w:colFirst="0" w:colLast="0" w:name="_k7rey6um4ojj" w:id="7"/>
      <w:bookmarkEnd w:id="7"/>
      <w:r w:rsidDel="00000000" w:rsidR="00000000" w:rsidRPr="00000000">
        <w:rPr>
          <w:sz w:val="28"/>
          <w:szCs w:val="28"/>
          <w:rtl w:val="0"/>
        </w:rPr>
        <w:t xml:space="preserve">Selection Criteria</w:t>
      </w:r>
      <w:r w:rsidDel="00000000" w:rsidR="00000000" w:rsidRPr="00000000">
        <w:rPr>
          <w:rtl w:val="0"/>
        </w:rPr>
      </w:r>
    </w:p>
    <w:tbl>
      <w:tblPr>
        <w:tblStyle w:val="Table4"/>
        <w:tblW w:w="100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54.634146341464"/>
        <w:gridCol w:w="2212.6829268292686"/>
        <w:gridCol w:w="2212.6829268292686"/>
        <w:tblGridChange w:id="0">
          <w:tblGrid>
            <w:gridCol w:w="5654.634146341464"/>
            <w:gridCol w:w="2212.6829268292686"/>
            <w:gridCol w:w="2212.6829268292686"/>
          </w:tblGrid>
        </w:tblGridChange>
      </w:tblGrid>
      <w:tr>
        <w:trPr>
          <w:cantSplit w:val="0"/>
          <w:tblHeader w:val="0"/>
        </w:trPr>
        <w:tc>
          <w:tcPr>
            <w:shd w:fill="365f91"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line="240" w:lineRule="auto"/>
              <w:jc w:val="center"/>
              <w:rPr>
                <w:color w:val="ffffff"/>
              </w:rPr>
            </w:pPr>
            <w:r w:rsidDel="00000000" w:rsidR="00000000" w:rsidRPr="00000000">
              <w:rPr>
                <w:color w:val="ffffff"/>
                <w:rtl w:val="0"/>
              </w:rPr>
              <w:t xml:space="preserve">Selection Criteria</w:t>
            </w:r>
          </w:p>
        </w:tc>
        <w:tc>
          <w:tcPr>
            <w:shd w:fill="365f91"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0" w:line="240" w:lineRule="auto"/>
              <w:jc w:val="center"/>
              <w:rPr>
                <w:color w:val="ffffff"/>
              </w:rPr>
            </w:pPr>
            <w:r w:rsidDel="00000000" w:rsidR="00000000" w:rsidRPr="00000000">
              <w:rPr>
                <w:color w:val="ffffff"/>
                <w:rtl w:val="0"/>
              </w:rPr>
              <w:t xml:space="preserve">Weighting</w:t>
            </w:r>
          </w:p>
        </w:tc>
        <w:tc>
          <w:tcPr>
            <w:shd w:fill="365f91"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0" w:line="240" w:lineRule="auto"/>
              <w:jc w:val="center"/>
              <w:rPr>
                <w:color w:val="ffffff"/>
              </w:rPr>
            </w:pPr>
            <w:r w:rsidDel="00000000" w:rsidR="00000000" w:rsidRPr="00000000">
              <w:rPr>
                <w:color w:val="ffffff"/>
                <w:rtl w:val="0"/>
              </w:rPr>
              <w:t xml:space="preserve">Available Points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after="0" w:line="240" w:lineRule="auto"/>
              <w:jc w:val="both"/>
              <w:rPr/>
            </w:pPr>
            <w:r w:rsidDel="00000000" w:rsidR="00000000" w:rsidRPr="00000000">
              <w:rPr>
                <w:rtl w:val="0"/>
              </w:rPr>
              <w:t xml:space="preserve">Financial or Cost Proposal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30 pts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line="240" w:lineRule="auto"/>
              <w:jc w:val="both"/>
              <w:rPr/>
            </w:pPr>
            <w:r w:rsidDel="00000000" w:rsidR="00000000" w:rsidRPr="00000000">
              <w:rPr>
                <w:rtl w:val="0"/>
              </w:rPr>
              <w:t xml:space="preserve">Technical Proposal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70pts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numPr>
                <w:ilvl w:val="0"/>
                <w:numId w:val="5"/>
              </w:numPr>
              <w:spacing w:after="0" w:line="240" w:lineRule="auto"/>
              <w:ind w:left="720" w:hanging="360"/>
              <w:rPr>
                <w:rFonts w:ascii="Helvetica Neue Light" w:cs="Helvetica Neue Light" w:eastAsia="Helvetica Neue Light" w:hAnsi="Helvetica Neue Light"/>
                <w:sz w:val="22"/>
                <w:szCs w:val="22"/>
              </w:rPr>
            </w:pPr>
            <w:r w:rsidDel="00000000" w:rsidR="00000000" w:rsidRPr="00000000">
              <w:rPr>
                <w:rtl w:val="0"/>
              </w:rPr>
              <w:t xml:space="preserve">Expertise - Relevance and experience in developing successful sustainability and exit strategies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15 pts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numPr>
                <w:ilvl w:val="0"/>
                <w:numId w:val="3"/>
              </w:numPr>
              <w:spacing w:after="0" w:line="240" w:lineRule="auto"/>
              <w:ind w:left="720" w:hanging="360"/>
              <w:rPr>
                <w:rFonts w:ascii="Helvetica Neue Light" w:cs="Helvetica Neue Light" w:eastAsia="Helvetica Neue Light" w:hAnsi="Helvetica Neue Light"/>
                <w:sz w:val="22"/>
                <w:szCs w:val="22"/>
              </w:rPr>
            </w:pPr>
            <w:r w:rsidDel="00000000" w:rsidR="00000000" w:rsidRPr="00000000">
              <w:rPr>
                <w:rtl w:val="0"/>
              </w:rPr>
              <w:t xml:space="preserve">Expertise in conducting market research; demonstrated previous experience that can be considered relevant to Building Markets’ scope of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 pts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numPr>
                <w:ilvl w:val="0"/>
                <w:numId w:val="10"/>
              </w:numPr>
              <w:spacing w:after="0" w:line="240" w:lineRule="auto"/>
              <w:ind w:left="720" w:hanging="360"/>
              <w:rPr>
                <w:rFonts w:ascii="Helvetica Neue Light" w:cs="Helvetica Neue Light" w:eastAsia="Helvetica Neue Light" w:hAnsi="Helvetica Neue Light"/>
                <w:sz w:val="22"/>
                <w:szCs w:val="22"/>
              </w:rPr>
            </w:pPr>
            <w:r w:rsidDel="00000000" w:rsidR="00000000" w:rsidRPr="00000000">
              <w:rPr>
                <w:rtl w:val="0"/>
              </w:rPr>
              <w:t xml:space="preserve">Understanding of refugee livelihoods and economic development programming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15 pts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numPr>
                <w:ilvl w:val="0"/>
                <w:numId w:val="4"/>
              </w:numPr>
              <w:spacing w:after="0" w:line="240" w:lineRule="auto"/>
              <w:ind w:left="720" w:hanging="360"/>
              <w:rPr>
                <w:rFonts w:ascii="Helvetica Neue Light" w:cs="Helvetica Neue Light" w:eastAsia="Helvetica Neue Light" w:hAnsi="Helvetica Neue Light"/>
                <w:sz w:val="22"/>
                <w:szCs w:val="22"/>
              </w:rPr>
            </w:pPr>
            <w:r w:rsidDel="00000000" w:rsidR="00000000" w:rsidRPr="00000000">
              <w:rPr>
                <w:rtl w:val="0"/>
              </w:rPr>
              <w:t xml:space="preserve">Clarity of proposal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 pts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numPr>
                <w:ilvl w:val="0"/>
                <w:numId w:val="7"/>
              </w:numPr>
              <w:spacing w:after="0" w:line="240" w:lineRule="auto"/>
              <w:ind w:left="720" w:hanging="360"/>
              <w:rPr>
                <w:rFonts w:ascii="Helvetica Neue Light" w:cs="Helvetica Neue Light" w:eastAsia="Helvetica Neue Light" w:hAnsi="Helvetica Neue Light"/>
                <w:sz w:val="22"/>
                <w:szCs w:val="22"/>
              </w:rPr>
            </w:pPr>
            <w:r w:rsidDel="00000000" w:rsidR="00000000" w:rsidRPr="00000000">
              <w:rPr>
                <w:rtl w:val="0"/>
              </w:rPr>
              <w:t xml:space="preserve">References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 pts</w:t>
            </w:r>
          </w:p>
        </w:tc>
      </w:tr>
    </w:tbl>
    <w:p w:rsidR="00000000" w:rsidDel="00000000" w:rsidP="00000000" w:rsidRDefault="00000000" w:rsidRPr="00000000" w14:paraId="00000078">
      <w:pPr>
        <w:spacing w:after="0" w:line="240" w:lineRule="auto"/>
        <w:jc w:val="both"/>
        <w:rPr/>
      </w:pPr>
      <w:r w:rsidDel="00000000" w:rsidR="00000000" w:rsidRPr="00000000">
        <w:rPr>
          <w:rtl w:val="0"/>
        </w:rPr>
      </w:r>
    </w:p>
    <w:p w:rsidR="00000000" w:rsidDel="00000000" w:rsidP="00000000" w:rsidRDefault="00000000" w:rsidRPr="00000000" w14:paraId="00000079">
      <w:pPr>
        <w:spacing w:after="0" w:line="240" w:lineRule="auto"/>
        <w:jc w:val="both"/>
        <w:rPr>
          <w:b w:val="1"/>
        </w:rPr>
      </w:pPr>
      <w:r w:rsidDel="00000000" w:rsidR="00000000" w:rsidRPr="00000000">
        <w:rPr>
          <w:rtl w:val="0"/>
        </w:rPr>
        <w:t xml:space="preserve">Final deliverable must be completed no later </w:t>
      </w:r>
      <w:r w:rsidDel="00000000" w:rsidR="00000000" w:rsidRPr="00000000">
        <w:rPr>
          <w:b w:val="1"/>
          <w:rtl w:val="0"/>
        </w:rPr>
        <w:t xml:space="preserve">19 August 2022.</w:t>
      </w:r>
    </w:p>
    <w:p w:rsidR="00000000" w:rsidDel="00000000" w:rsidP="00000000" w:rsidRDefault="00000000" w:rsidRPr="00000000" w14:paraId="0000007A">
      <w:pPr>
        <w:pageBreakBefore w:val="0"/>
        <w:jc w:val="both"/>
        <w:rPr/>
      </w:pPr>
      <w:r w:rsidDel="00000000" w:rsidR="00000000" w:rsidRPr="00000000">
        <w:rPr>
          <w:rtl w:val="0"/>
        </w:rPr>
        <w:t xml:space="preserve">Only bids exceeding a Technical Proposal score of (35 out of 70) will be considered for financial evaluation.</w:t>
      </w:r>
    </w:p>
    <w:p w:rsidR="00000000" w:rsidDel="00000000" w:rsidP="00000000" w:rsidRDefault="00000000" w:rsidRPr="00000000" w14:paraId="0000007B">
      <w:pPr>
        <w:pStyle w:val="Heading2"/>
        <w:pageBreakBefore w:val="0"/>
        <w:jc w:val="both"/>
        <w:rPr/>
      </w:pPr>
      <w:bookmarkStart w:colFirst="0" w:colLast="0" w:name="_2gddqgsakuhk" w:id="8"/>
      <w:bookmarkEnd w:id="8"/>
      <w:r w:rsidDel="00000000" w:rsidR="00000000" w:rsidRPr="00000000">
        <w:rPr>
          <w:rtl w:val="0"/>
        </w:rPr>
        <w:t xml:space="preserve">Terms and Conditions</w:t>
      </w:r>
      <w:r w:rsidDel="00000000" w:rsidR="00000000" w:rsidRPr="00000000">
        <w:rPr>
          <w:rtl w:val="0"/>
        </w:rPr>
      </w:r>
    </w:p>
    <w:p w:rsidR="00000000" w:rsidDel="00000000" w:rsidP="00000000" w:rsidRDefault="00000000" w:rsidRPr="00000000" w14:paraId="0000007C">
      <w:pPr>
        <w:pStyle w:val="Heading3"/>
        <w:pageBreakBefore w:val="0"/>
        <w:jc w:val="both"/>
        <w:rPr/>
      </w:pPr>
      <w:bookmarkStart w:colFirst="0" w:colLast="0" w:name="_599ovytngx22" w:id="9"/>
      <w:bookmarkEnd w:id="9"/>
      <w:r w:rsidDel="00000000" w:rsidR="00000000" w:rsidRPr="00000000">
        <w:rPr>
          <w:rtl w:val="0"/>
        </w:rPr>
        <w:t xml:space="preserve">General Terms and Conditions</w:t>
      </w:r>
    </w:p>
    <w:p w:rsidR="00000000" w:rsidDel="00000000" w:rsidP="00000000" w:rsidRDefault="00000000" w:rsidRPr="00000000" w14:paraId="0000007D">
      <w:pPr>
        <w:pageBreakBefore w:val="0"/>
        <w:jc w:val="both"/>
        <w:rPr/>
      </w:pPr>
      <w:r w:rsidDel="00000000" w:rsidR="00000000" w:rsidRPr="00000000">
        <w:rPr>
          <w:rtl w:val="0"/>
        </w:rPr>
        <w:t xml:space="preserve">Building Markets will review all quotes and score them based on the above criteria. Preferred and backup suppliers will be selected, after which a contract will be signed between the parties. </w:t>
      </w:r>
    </w:p>
    <w:p w:rsidR="00000000" w:rsidDel="00000000" w:rsidP="00000000" w:rsidRDefault="00000000" w:rsidRPr="00000000" w14:paraId="0000007E">
      <w:pPr>
        <w:pageBreakBefore w:val="0"/>
        <w:jc w:val="both"/>
        <w:rPr/>
      </w:pPr>
      <w:r w:rsidDel="00000000" w:rsidR="00000000" w:rsidRPr="00000000">
        <w:rPr>
          <w:rtl w:val="0"/>
        </w:rPr>
        <w:t xml:space="preserve">A </w:t>
      </w:r>
      <w:r w:rsidDel="00000000" w:rsidR="00000000" w:rsidRPr="00000000">
        <w:rPr>
          <w:rtl w:val="0"/>
        </w:rPr>
        <w:t xml:space="preserve">Service Agreement </w:t>
      </w:r>
      <w:r w:rsidDel="00000000" w:rsidR="00000000" w:rsidRPr="00000000">
        <w:rPr>
          <w:rtl w:val="0"/>
        </w:rPr>
        <w:t xml:space="preserve">will be awarded as a result of this </w:t>
      </w:r>
      <w:r w:rsidDel="00000000" w:rsidR="00000000" w:rsidRPr="00000000">
        <w:rPr>
          <w:rtl w:val="0"/>
        </w:rPr>
        <w:t xml:space="preserve">RFQ</w:t>
      </w:r>
      <w:r w:rsidDel="00000000" w:rsidR="00000000" w:rsidRPr="00000000">
        <w:rPr>
          <w:rtl w:val="0"/>
        </w:rPr>
        <w:t xml:space="preserve">.</w:t>
      </w:r>
    </w:p>
    <w:p w:rsidR="00000000" w:rsidDel="00000000" w:rsidP="00000000" w:rsidRDefault="00000000" w:rsidRPr="00000000" w14:paraId="0000007F">
      <w:pPr>
        <w:pageBreakBefore w:val="0"/>
        <w:jc w:val="both"/>
        <w:rPr/>
      </w:pPr>
      <w:r w:rsidDel="00000000" w:rsidR="00000000" w:rsidRPr="00000000">
        <w:rPr>
          <w:rtl w:val="0"/>
        </w:rPr>
        <w:t xml:space="preserve">Under a Service Agreement, the Supplier agrees to a specific cost for a set good or service at the negotiated price. The FWA will thus not be adjusted on the basis of the supplier’s actual costs incurred in performing the contract, which means that the supplier assumes all cost risk of contract performance. Building Markets will issue Purchase Orders indicating the number and extent of the good or service requested from the agreed Service Agreement prices. Building Markets reserves the right not to issue any Purchase Orders despite entering into the Service Agreement.</w:t>
      </w:r>
      <w:r w:rsidDel="00000000" w:rsidR="00000000" w:rsidRPr="00000000">
        <w:rPr>
          <w:rtl w:val="0"/>
        </w:rPr>
      </w:r>
    </w:p>
    <w:p w:rsidR="00000000" w:rsidDel="00000000" w:rsidP="00000000" w:rsidRDefault="00000000" w:rsidRPr="00000000" w14:paraId="00000080">
      <w:pPr>
        <w:pageBreakBefore w:val="0"/>
        <w:jc w:val="both"/>
        <w:rPr/>
      </w:pPr>
      <w:r w:rsidDel="00000000" w:rsidR="00000000" w:rsidRPr="00000000">
        <w:rPr>
          <w:rtl w:val="0"/>
        </w:rPr>
        <w:t xml:space="preserve">Building Markets is not bound to accept any quotation, nor award a contract/ Purchase Order, nor be responsible for any costs associated with the preparation and submission of a quotation, regardless of the conduct or outcomes of the selection process.</w:t>
      </w:r>
    </w:p>
    <w:p w:rsidR="00000000" w:rsidDel="00000000" w:rsidP="00000000" w:rsidRDefault="00000000" w:rsidRPr="00000000" w14:paraId="00000081">
      <w:pPr>
        <w:pageBreakBefore w:val="0"/>
        <w:jc w:val="both"/>
        <w:rPr/>
      </w:pPr>
      <w:r w:rsidDel="00000000" w:rsidR="00000000" w:rsidRPr="00000000">
        <w:rPr>
          <w:rtl w:val="0"/>
        </w:rPr>
        <w:t xml:space="preserve">Building Markets reserves the right to accept or reject any Proposal, to render any or all Proposals as nonresponsive, and to annul the solicitation process and reject all Proposals at any time prior to award of contract, without thereby incurring any liability to the affected supplier, or any obligation to inform the affected supplier(s) of the grounds for Building Markets’ action. Building Markets shall neither be obliged to award the contract to the lowest price offer.</w:t>
      </w:r>
    </w:p>
    <w:p w:rsidR="00000000" w:rsidDel="00000000" w:rsidP="00000000" w:rsidRDefault="00000000" w:rsidRPr="00000000" w14:paraId="00000082">
      <w:pPr>
        <w:pageBreakBefore w:val="0"/>
        <w:jc w:val="both"/>
        <w:rPr/>
      </w:pPr>
      <w:r w:rsidDel="00000000" w:rsidR="00000000" w:rsidRPr="00000000">
        <w:rPr>
          <w:rtl w:val="0"/>
        </w:rPr>
        <w:t xml:space="preserve">While Building Markets prefers to work with a single supplier, the organization reserves the right to divide the work under this </w:t>
      </w:r>
      <w:r w:rsidDel="00000000" w:rsidR="00000000" w:rsidRPr="00000000">
        <w:rPr>
          <w:rtl w:val="0"/>
        </w:rPr>
        <w:t xml:space="preserve">RFQ</w:t>
      </w:r>
      <w:r w:rsidDel="00000000" w:rsidR="00000000" w:rsidRPr="00000000">
        <w:rPr>
          <w:rtl w:val="0"/>
        </w:rPr>
        <w:t xml:space="preserve"> across multiple service providers. Prospective suppliers are encouraged to highlight areas of relative expertise when submitting their offers. </w:t>
      </w:r>
    </w:p>
    <w:p w:rsidR="00000000" w:rsidDel="00000000" w:rsidP="00000000" w:rsidRDefault="00000000" w:rsidRPr="00000000" w14:paraId="00000083">
      <w:pPr>
        <w:pStyle w:val="Heading3"/>
        <w:pageBreakBefore w:val="0"/>
        <w:jc w:val="both"/>
        <w:rPr/>
      </w:pPr>
      <w:bookmarkStart w:colFirst="0" w:colLast="0" w:name="_yyhrszb5jab2" w:id="10"/>
      <w:bookmarkEnd w:id="10"/>
      <w:r w:rsidDel="00000000" w:rsidR="00000000" w:rsidRPr="00000000">
        <w:rPr>
          <w:rtl w:val="0"/>
        </w:rPr>
        <w:t xml:space="preserve">Conflict of Interest</w:t>
      </w:r>
    </w:p>
    <w:p w:rsidR="00000000" w:rsidDel="00000000" w:rsidP="00000000" w:rsidRDefault="00000000" w:rsidRPr="00000000" w14:paraId="00000084">
      <w:pPr>
        <w:pageBreakBefore w:val="0"/>
        <w:jc w:val="both"/>
        <w:rPr/>
      </w:pPr>
      <w:r w:rsidDel="00000000" w:rsidR="00000000" w:rsidRPr="00000000">
        <w:rPr>
          <w:rtl w:val="0"/>
        </w:rPr>
        <w:t xml:space="preserve">Building Markets takes special care to comply with transparency, accountability and generally applied work ethics within all domestic and donor regulations, and international laws applicable to the countries where it operates.</w:t>
      </w:r>
    </w:p>
    <w:p w:rsidR="00000000" w:rsidDel="00000000" w:rsidP="00000000" w:rsidRDefault="00000000" w:rsidRPr="00000000" w14:paraId="00000085">
      <w:pPr>
        <w:pageBreakBefore w:val="0"/>
        <w:jc w:val="both"/>
        <w:rPr/>
      </w:pPr>
      <w:r w:rsidDel="00000000" w:rsidR="00000000" w:rsidRPr="00000000">
        <w:rPr>
          <w:rtl w:val="0"/>
        </w:rPr>
        <w:t xml:space="preserve">Any attempts or suspicion of misconduct to influence the integrity of the procurement process, whether by Building Markets personnel or outside suppliers, will fully be investigated. By submitting your price quotation, you accept to immediately declare any potential conflict of interest, even if cursory or unintentional, upon becoming aware of such for immediate internal review by the organization. Failure to declare such conflicts of interest, even if accidental, may result in litigation.</w:t>
      </w:r>
    </w:p>
    <w:p w:rsidR="00000000" w:rsidDel="00000000" w:rsidP="00000000" w:rsidRDefault="00000000" w:rsidRPr="00000000" w14:paraId="00000086">
      <w:pPr>
        <w:pStyle w:val="Heading3"/>
        <w:pageBreakBefore w:val="0"/>
        <w:jc w:val="both"/>
        <w:rPr/>
      </w:pPr>
      <w:bookmarkStart w:colFirst="0" w:colLast="0" w:name="_hg0n33idvnse" w:id="11"/>
      <w:bookmarkEnd w:id="11"/>
      <w:r w:rsidDel="00000000" w:rsidR="00000000" w:rsidRPr="00000000">
        <w:rPr>
          <w:rtl w:val="0"/>
        </w:rPr>
        <w:t xml:space="preserve">Non-disclosure Agreement and International Compliance</w:t>
      </w:r>
    </w:p>
    <w:p w:rsidR="00000000" w:rsidDel="00000000" w:rsidP="00000000" w:rsidRDefault="00000000" w:rsidRPr="00000000" w14:paraId="00000087">
      <w:pPr>
        <w:pageBreakBefore w:val="0"/>
        <w:jc w:val="both"/>
        <w:rPr/>
      </w:pPr>
      <w:r w:rsidDel="00000000" w:rsidR="00000000" w:rsidRPr="00000000">
        <w:rPr>
          <w:rtl w:val="0"/>
        </w:rPr>
        <w:t xml:space="preserve">By submitting your price quotation, you agree that in the event of being selected to undertake this project, any team members involved in the development of said project are willing to sign a non-disclosure agreement to maintain confidentiality of data involved.</w:t>
      </w:r>
    </w:p>
    <w:p w:rsidR="00000000" w:rsidDel="00000000" w:rsidP="00000000" w:rsidRDefault="00000000" w:rsidRPr="00000000" w14:paraId="00000088">
      <w:pPr>
        <w:pageBreakBefore w:val="0"/>
        <w:jc w:val="both"/>
        <w:rPr/>
      </w:pPr>
      <w:r w:rsidDel="00000000" w:rsidR="00000000" w:rsidRPr="00000000">
        <w:rPr>
          <w:rtl w:val="0"/>
        </w:rPr>
        <w:t xml:space="preserve">You also agree to sign anti-terrorism and anti-fraud declaration forms, and have your name searched against an international database conducting terrorism background checks. There is no additional burden to you as a supplier; only consent is required.</w:t>
      </w:r>
      <w:r w:rsidDel="00000000" w:rsidR="00000000" w:rsidRPr="00000000">
        <w:rPr>
          <w:rtl w:val="0"/>
        </w:rPr>
      </w:r>
    </w:p>
    <w:p w:rsidR="00000000" w:rsidDel="00000000" w:rsidP="00000000" w:rsidRDefault="00000000" w:rsidRPr="00000000" w14:paraId="00000089">
      <w:pPr>
        <w:pStyle w:val="Heading3"/>
        <w:pageBreakBefore w:val="0"/>
        <w:jc w:val="both"/>
        <w:rPr/>
      </w:pPr>
      <w:bookmarkStart w:colFirst="0" w:colLast="0" w:name="_s3wyqicrmorn" w:id="12"/>
      <w:bookmarkEnd w:id="12"/>
      <w:r w:rsidDel="00000000" w:rsidR="00000000" w:rsidRPr="00000000">
        <w:rPr>
          <w:rtl w:val="0"/>
        </w:rPr>
        <w:t xml:space="preserve">Compliance with personal data protection laws</w:t>
      </w:r>
    </w:p>
    <w:p w:rsidR="00000000" w:rsidDel="00000000" w:rsidP="00000000" w:rsidRDefault="00000000" w:rsidRPr="00000000" w14:paraId="0000008A">
      <w:pPr>
        <w:pageBreakBefore w:val="0"/>
        <w:jc w:val="both"/>
        <w:rPr/>
      </w:pPr>
      <w:r w:rsidDel="00000000" w:rsidR="00000000" w:rsidRPr="00000000">
        <w:rPr>
          <w:rtl w:val="0"/>
        </w:rPr>
        <w:t xml:space="preserve">Building Markets is committed to ensuring the security and protection of the personal information that we process, and to provide a compliant and consistent approach to data protection. If you have any questions related to our personal data protection compliance, please contact our Data Protection Officer (aydin@buildingmarkets.org) or make a Data Subject Access Request, which can be accessed from our website (www.buildingmarkets.org)</w:t>
      </w:r>
    </w:p>
    <w:p w:rsidR="00000000" w:rsidDel="00000000" w:rsidP="00000000" w:rsidRDefault="00000000" w:rsidRPr="00000000" w14:paraId="0000008B">
      <w:pPr>
        <w:pageBreakBefore w:val="0"/>
        <w:jc w:val="both"/>
        <w:rPr/>
      </w:pPr>
      <w:r w:rsidDel="00000000" w:rsidR="00000000" w:rsidRPr="00000000">
        <w:rPr>
          <w:rtl w:val="0"/>
        </w:rPr>
        <w:t xml:space="preserve">For the purposes of this RFQ, the prospective supplier represents and warrants that it or any of its potential subcontractors are in full compliance with the Law on the Protection of Personal Data numbered 6698 (hereafter referred to as the “KVKK”) and any relevant applicable data protection legislation (hereafter referred to as the “Data Protection Regulations”).</w:t>
      </w:r>
      <w:r w:rsidDel="00000000" w:rsidR="00000000" w:rsidRPr="00000000">
        <w:rPr>
          <w:rtl w:val="0"/>
        </w:rPr>
      </w:r>
    </w:p>
    <w:p w:rsidR="00000000" w:rsidDel="00000000" w:rsidP="00000000" w:rsidRDefault="00000000" w:rsidRPr="00000000" w14:paraId="0000008C">
      <w:pPr>
        <w:pStyle w:val="Heading3"/>
        <w:pageBreakBefore w:val="0"/>
        <w:jc w:val="both"/>
        <w:rPr/>
      </w:pPr>
      <w:bookmarkStart w:colFirst="0" w:colLast="0" w:name="_9flnug49u0th" w:id="13"/>
      <w:bookmarkEnd w:id="13"/>
      <w:r w:rsidDel="00000000" w:rsidR="00000000" w:rsidRPr="00000000">
        <w:rPr>
          <w:rtl w:val="0"/>
        </w:rPr>
      </w:r>
    </w:p>
    <w:p w:rsidR="00000000" w:rsidDel="00000000" w:rsidP="00000000" w:rsidRDefault="00000000" w:rsidRPr="00000000" w14:paraId="0000008D">
      <w:pPr>
        <w:pageBreakBefore w:val="0"/>
        <w:jc w:val="both"/>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08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Helvetica Neue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ill San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pStyle w:val="Subtitle"/>
      <w:pageBreakBefore w:val="0"/>
      <w:rPr/>
    </w:pPr>
    <w:bookmarkStart w:colFirst="0" w:colLast="0" w:name="_9qpazg1ylfgl" w:id="14"/>
    <w:bookmarkEnd w:id="14"/>
    <w:hyperlink r:id="rId1">
      <w:r w:rsidDel="00000000" w:rsidR="00000000" w:rsidRPr="00000000">
        <w:rPr>
          <w:color w:val="1155cc"/>
          <w:u w:val="single"/>
          <w:rtl w:val="0"/>
        </w:rPr>
        <w:t xml:space="preserve">Request for Proposal / Request for Quotation</w:t>
      </w:r>
    </w:hyperlink>
    <w:r w:rsidDel="00000000" w:rsidR="00000000" w:rsidRPr="00000000">
      <w:rPr>
        <w:rtl w:val="0"/>
      </w:rPr>
      <w:t xml:space="preserve"> | Version: May 2021</w:t>
      <w:tab/>
      <w:tab/>
      <w:tab/>
      <w:tab/>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pStyle w:val="Subtitle"/>
      <w:pageBreakBefore w:val="0"/>
      <w:rPr/>
    </w:pPr>
    <w:bookmarkStart w:colFirst="0" w:colLast="0" w:name="_xmwqiikvj9iu" w:id="15"/>
    <w:bookmarkEnd w:id="15"/>
    <w:hyperlink r:id="rId1">
      <w:r w:rsidDel="00000000" w:rsidR="00000000" w:rsidRPr="00000000">
        <w:rPr>
          <w:color w:val="1155cc"/>
          <w:u w:val="single"/>
          <w:rtl w:val="0"/>
        </w:rPr>
        <w:t xml:space="preserve">Request for Proposal / Request for Quotation</w:t>
      </w:r>
    </w:hyperlink>
    <w:r w:rsidDel="00000000" w:rsidR="00000000" w:rsidRPr="00000000">
      <w:rPr>
        <w:rtl w:val="0"/>
      </w:rPr>
      <w:t xml:space="preserve"> | Version: May 2021</w:t>
      <w:tab/>
      <w:tab/>
      <w:tab/>
      <w:tab/>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pageBreakBefore w:val="0"/>
      <w:rPr>
        <w:color w:val="365f91"/>
        <w:sz w:val="28"/>
        <w:szCs w:val="28"/>
      </w:rPr>
    </w:pPr>
    <w:r w:rsidDel="00000000" w:rsidR="00000000" w:rsidRPr="00000000">
      <w:rPr>
        <w:color w:val="365f91"/>
        <w:rtl w:val="0"/>
      </w:rPr>
      <w:t xml:space="preserve">Building Markets | Office Out of a Box</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pageBreakBefore w:val="0"/>
      <w:spacing w:after="0" w:lineRule="auto"/>
      <w:rPr/>
    </w:pP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6795656</wp:posOffset>
              </wp:positionH>
              <wp:positionV relativeFrom="page">
                <wp:posOffset>-48904</wp:posOffset>
              </wp:positionV>
              <wp:extent cx="1029131" cy="1029131"/>
              <wp:effectExtent b="0" l="0" r="0" t="0"/>
              <wp:wrapSquare wrapText="bothSides" distB="114300" distT="114300" distL="114300" distR="114300"/>
              <wp:docPr id="1" name=""/>
              <a:graphic>
                <a:graphicData uri="http://schemas.microsoft.com/office/word/2010/wordprocessingShape">
                  <wps:wsp>
                    <wps:cNvSpPr/>
                    <wps:cNvPr id="2" name="Shape 2"/>
                    <wps:spPr>
                      <a:xfrm rot="10800000">
                        <a:off x="4391625" y="892050"/>
                        <a:ext cx="1343100" cy="1343100"/>
                      </a:xfrm>
                      <a:prstGeom prst="rtTriangle">
                        <a:avLst/>
                      </a:prstGeom>
                      <a:solidFill>
                        <a:srgbClr val="1C9AD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6795656</wp:posOffset>
              </wp:positionH>
              <wp:positionV relativeFrom="page">
                <wp:posOffset>-48904</wp:posOffset>
              </wp:positionV>
              <wp:extent cx="1029131" cy="1029131"/>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029131" cy="1029131"/>
                      </a:xfrm>
                      <a:prstGeom prst="rect"/>
                      <a:ln/>
                    </pic:spPr>
                  </pic:pic>
                </a:graphicData>
              </a:graphic>
            </wp:anchor>
          </w:drawing>
        </mc:Fallback>
      </mc:AlternateContent>
    </w:r>
    <w:r w:rsidDel="00000000" w:rsidR="00000000" w:rsidRPr="00000000">
      <w:rPr/>
      <w:drawing>
        <wp:inline distB="114300" distT="114300" distL="114300" distR="114300">
          <wp:extent cx="1668323" cy="749808"/>
          <wp:effectExtent b="0" l="0" r="0" t="0"/>
          <wp:docPr id="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668323" cy="749808"/>
                  </a:xfrm>
                  <a:prstGeom prst="rect"/>
                  <a:ln/>
                </pic:spPr>
              </pic:pic>
            </a:graphicData>
          </a:graphic>
        </wp:inline>
      </w:drawing>
    </w:r>
    <w:r w:rsidDel="00000000" w:rsidR="00000000" w:rsidRPr="00000000">
      <w:rPr>
        <w:rtl w:val="0"/>
      </w:rPr>
      <w:tab/>
    </w:r>
  </w:p>
  <w:p w:rsidR="00000000" w:rsidDel="00000000" w:rsidP="00000000" w:rsidRDefault="00000000" w:rsidRPr="00000000" w14:paraId="00000090">
    <w:pPr>
      <w:pageBreakBefore w:val="0"/>
      <w:spacing w:after="0" w:lineRule="auto"/>
      <w:jc w:val="center"/>
      <w:rPr>
        <w:color w:val="365f91"/>
        <w:sz w:val="48"/>
        <w:szCs w:val="48"/>
      </w:rPr>
    </w:pPr>
    <w:r w:rsidDel="00000000" w:rsidR="00000000" w:rsidRPr="00000000">
      <w:rPr>
        <w:color w:val="365f91"/>
        <w:sz w:val="48"/>
        <w:szCs w:val="48"/>
        <w:rtl w:val="0"/>
      </w:rPr>
      <w:t xml:space="preserve">Request for </w:t>
    </w:r>
    <w:r w:rsidDel="00000000" w:rsidR="00000000" w:rsidRPr="00000000">
      <w:rPr>
        <w:color w:val="365f91"/>
        <w:sz w:val="48"/>
        <w:szCs w:val="48"/>
        <w:rtl w:val="0"/>
      </w:rPr>
      <w:t xml:space="preserve">Quotation (RFQ)</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ill Sans" w:cs="Gill Sans" w:eastAsia="Gill Sans" w:hAnsi="Gill Sans"/>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76" w:lineRule="auto"/>
    </w:pPr>
    <w:rPr>
      <w:color w:val="365f91"/>
      <w:sz w:val="48"/>
      <w:szCs w:val="48"/>
    </w:rPr>
  </w:style>
  <w:style w:type="paragraph" w:styleId="Heading2">
    <w:name w:val="heading 2"/>
    <w:basedOn w:val="Normal"/>
    <w:next w:val="Normal"/>
    <w:pPr>
      <w:keepNext w:val="1"/>
      <w:keepLines w:val="1"/>
      <w:pageBreakBefore w:val="0"/>
      <w:spacing w:line="276" w:lineRule="auto"/>
    </w:pPr>
    <w:rPr>
      <w:color w:val="365f91"/>
      <w:sz w:val="28"/>
      <w:szCs w:val="28"/>
    </w:rPr>
  </w:style>
  <w:style w:type="paragraph" w:styleId="Heading3">
    <w:name w:val="heading 3"/>
    <w:basedOn w:val="Normal"/>
    <w:next w:val="Normal"/>
    <w:pPr>
      <w:keepNext w:val="1"/>
      <w:keepLines w:val="1"/>
      <w:pageBreakBefore w:val="0"/>
      <w:spacing w:line="276" w:lineRule="auto"/>
    </w:pPr>
    <w:rPr>
      <w:color w:val="365f91"/>
    </w:rPr>
  </w:style>
  <w:style w:type="paragraph" w:styleId="Heading4">
    <w:name w:val="heading 4"/>
    <w:basedOn w:val="Normal"/>
    <w:next w:val="Normal"/>
    <w:pPr>
      <w:keepNext w:val="1"/>
      <w:keepLines w:val="1"/>
      <w:pageBreakBefore w:val="0"/>
      <w:spacing w:line="276" w:lineRule="auto"/>
    </w:pPr>
    <w:rPr>
      <w:color w:val="999999"/>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0" w:lineRule="auto"/>
    </w:pPr>
    <w:rPr>
      <w:sz w:val="18"/>
      <w:szCs w:val="1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invoice.turkey@buildingmarkets.org" TargetMode="External"/><Relationship Id="rId7" Type="http://schemas.openxmlformats.org/officeDocument/2006/relationships/hyperlink" Target="http://www.buildingmarkets.org" TargetMode="External"/><Relationship Id="rId8" Type="http://schemas.openxmlformats.org/officeDocument/2006/relationships/hyperlink" Target="mailto:xxx@buildingmarket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Light-regular.ttf"/><Relationship Id="rId2" Type="http://schemas.openxmlformats.org/officeDocument/2006/relationships/font" Target="fonts/HelveticaNeueLight-bold.ttf"/><Relationship Id="rId3" Type="http://schemas.openxmlformats.org/officeDocument/2006/relationships/font" Target="fonts/HelveticaNeueLight-italic.ttf"/><Relationship Id="rId4" Type="http://schemas.openxmlformats.org/officeDocument/2006/relationships/font" Target="fonts/HelveticaNeueLight-boldItalic.ttf"/><Relationship Id="rId5" Type="http://schemas.openxmlformats.org/officeDocument/2006/relationships/font" Target="fonts/GillSans-regular.ttf"/><Relationship Id="rId6" Type="http://schemas.openxmlformats.org/officeDocument/2006/relationships/font" Target="fonts/GillSans-bold.ttf"/></Relationships>
</file>

<file path=word/_rels/footer1.xml.rels><?xml version="1.0" encoding="UTF-8" standalone="yes"?><Relationships xmlns="http://schemas.openxmlformats.org/package/2006/relationships"><Relationship Id="rId1" Type="http://schemas.openxmlformats.org/officeDocument/2006/relationships/hyperlink" Target="https://drive.google.com/drive/u/1/folders/1_fm-PClCWgFYaHJb4W6xWTN1nEQ8yF6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rive.google.com/drive/u/1/folders/1_fm-PClCWgFYaHJb4W6xWTN1nEQ8yF6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