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32B4" w14:textId="77777777" w:rsidR="00496C14" w:rsidRPr="003A3376" w:rsidRDefault="00496C14" w:rsidP="0035275C">
      <w:pPr>
        <w:pStyle w:val="Balk5"/>
        <w:spacing w:before="0"/>
        <w:jc w:val="both"/>
        <w:rPr>
          <w:rFonts w:ascii="Times New Roman" w:hAnsi="Times New Roman" w:cs="Times New Roman"/>
          <w:caps/>
          <w:sz w:val="24"/>
          <w:szCs w:val="24"/>
          <w:lang w:val="en-US"/>
        </w:rPr>
      </w:pPr>
      <w:r w:rsidRPr="003A3376">
        <w:rPr>
          <w:rFonts w:ascii="Times New Roman" w:hAnsi="Times New Roman" w:cs="Times New Roman"/>
          <w:caps/>
          <w:sz w:val="24"/>
          <w:szCs w:val="24"/>
          <w:lang w:val="en-US"/>
        </w:rPr>
        <w:t>REQUEST FOR EXPRESSIONS OF INTEREST</w:t>
      </w:r>
      <w:r w:rsidR="00596DA6" w:rsidRPr="003A3376">
        <w:rPr>
          <w:rFonts w:ascii="Times New Roman" w:hAnsi="Times New Roman" w:cs="Times New Roman"/>
          <w:caps/>
          <w:sz w:val="24"/>
          <w:szCs w:val="24"/>
          <w:lang w:val="en-US"/>
        </w:rPr>
        <w:t xml:space="preserve"> (REOI)</w:t>
      </w:r>
    </w:p>
    <w:p w14:paraId="47FAE3AE" w14:textId="77777777" w:rsidR="00496C14" w:rsidRPr="003A3376" w:rsidRDefault="00496C14" w:rsidP="0035275C">
      <w:pPr>
        <w:pStyle w:val="Balk5"/>
        <w:spacing w:before="0"/>
        <w:jc w:val="both"/>
        <w:rPr>
          <w:rStyle w:val="Gl"/>
          <w:rFonts w:ascii="Times New Roman" w:hAnsi="Times New Roman" w:cs="Times New Roman"/>
          <w:sz w:val="24"/>
          <w:szCs w:val="24"/>
          <w:lang w:val="en-US"/>
        </w:rPr>
      </w:pPr>
      <w:r w:rsidRPr="003A3376">
        <w:rPr>
          <w:rFonts w:ascii="Times New Roman" w:hAnsi="Times New Roman" w:cs="Times New Roman"/>
          <w:caps/>
          <w:sz w:val="24"/>
          <w:szCs w:val="24"/>
          <w:lang w:val="en-US"/>
        </w:rPr>
        <w:t xml:space="preserve">(CONSULTING SERVICES – INDIVIDUAL </w:t>
      </w:r>
      <w:r w:rsidR="00FD260D" w:rsidRPr="003A3376">
        <w:rPr>
          <w:rFonts w:ascii="Times New Roman" w:hAnsi="Times New Roman" w:cs="Times New Roman"/>
          <w:caps/>
          <w:sz w:val="24"/>
          <w:szCs w:val="24"/>
          <w:lang w:val="en-US"/>
        </w:rPr>
        <w:t xml:space="preserve">(socıal) </w:t>
      </w:r>
      <w:r w:rsidRPr="003A3376">
        <w:rPr>
          <w:rFonts w:ascii="Times New Roman" w:hAnsi="Times New Roman" w:cs="Times New Roman"/>
          <w:caps/>
          <w:sz w:val="24"/>
          <w:szCs w:val="24"/>
          <w:lang w:val="en-US"/>
        </w:rPr>
        <w:t>CONSULTANT SELECTION)</w:t>
      </w:r>
    </w:p>
    <w:p w14:paraId="7EFD5E34" w14:textId="77777777" w:rsidR="00496C14" w:rsidRPr="003A3376" w:rsidRDefault="00496C14" w:rsidP="00496C14">
      <w:pPr>
        <w:pStyle w:val="chapternumber"/>
        <w:tabs>
          <w:tab w:val="left" w:pos="720"/>
        </w:tabs>
        <w:spacing w:before="0" w:beforeAutospacing="0" w:after="0" w:afterAutospacing="0"/>
        <w:rPr>
          <w:spacing w:val="-2"/>
          <w:sz w:val="22"/>
          <w:szCs w:val="22"/>
          <w:lang w:val="en-US"/>
        </w:rPr>
      </w:pPr>
    </w:p>
    <w:p w14:paraId="5913E27B" w14:textId="77777777" w:rsidR="00496C14" w:rsidRPr="003A3376" w:rsidRDefault="00AE2839" w:rsidP="00496C14">
      <w:pPr>
        <w:suppressAutoHyphens/>
        <w:rPr>
          <w:b/>
          <w:spacing w:val="-2"/>
          <w:sz w:val="22"/>
          <w:szCs w:val="22"/>
          <w:lang w:val="en-US"/>
        </w:rPr>
      </w:pPr>
      <w:r w:rsidRPr="003A3376">
        <w:rPr>
          <w:b/>
          <w:spacing w:val="-2"/>
          <w:sz w:val="22"/>
          <w:szCs w:val="22"/>
          <w:lang w:val="en-US"/>
        </w:rPr>
        <w:t>TÜRKİYE</w:t>
      </w:r>
    </w:p>
    <w:p w14:paraId="6AE4709B" w14:textId="77777777" w:rsidR="00AE2839" w:rsidRPr="003A3376" w:rsidRDefault="00AE2839" w:rsidP="00496C14">
      <w:pPr>
        <w:suppressAutoHyphens/>
        <w:rPr>
          <w:b/>
          <w:spacing w:val="-2"/>
          <w:sz w:val="22"/>
          <w:szCs w:val="22"/>
          <w:lang w:val="en-US"/>
        </w:rPr>
      </w:pPr>
    </w:p>
    <w:p w14:paraId="58C0E809" w14:textId="77777777" w:rsidR="00496C14" w:rsidRPr="003A3376" w:rsidRDefault="00CC095C" w:rsidP="00496C14">
      <w:pPr>
        <w:suppressAutoHyphens/>
        <w:rPr>
          <w:b/>
          <w:spacing w:val="-2"/>
          <w:sz w:val="22"/>
          <w:szCs w:val="22"/>
          <w:lang w:val="en-US"/>
        </w:rPr>
      </w:pPr>
      <w:r w:rsidRPr="003A3376">
        <w:rPr>
          <w:b/>
          <w:spacing w:val="-2"/>
          <w:sz w:val="22"/>
          <w:szCs w:val="22"/>
          <w:lang w:val="en-US"/>
        </w:rPr>
        <w:t xml:space="preserve">Municipal Services </w:t>
      </w:r>
      <w:r w:rsidR="00870CD8" w:rsidRPr="003A3376">
        <w:rPr>
          <w:b/>
          <w:spacing w:val="-2"/>
          <w:sz w:val="22"/>
          <w:szCs w:val="22"/>
          <w:lang w:val="en-US"/>
        </w:rPr>
        <w:t>Project</w:t>
      </w:r>
      <w:r w:rsidRPr="003A3376">
        <w:rPr>
          <w:b/>
          <w:spacing w:val="-2"/>
          <w:sz w:val="22"/>
          <w:szCs w:val="22"/>
          <w:lang w:val="en-US"/>
        </w:rPr>
        <w:t xml:space="preserve"> I</w:t>
      </w:r>
    </w:p>
    <w:p w14:paraId="7B9299AD" w14:textId="77777777" w:rsidR="00AE2839" w:rsidRPr="003A3376" w:rsidRDefault="00AE2839" w:rsidP="00496C14">
      <w:pPr>
        <w:suppressAutoHyphens/>
        <w:rPr>
          <w:b/>
          <w:spacing w:val="-2"/>
          <w:sz w:val="22"/>
          <w:szCs w:val="22"/>
          <w:lang w:val="en-US"/>
        </w:rPr>
      </w:pPr>
    </w:p>
    <w:p w14:paraId="421E7E14" w14:textId="77777777" w:rsidR="00AE2839" w:rsidRPr="003A3376" w:rsidRDefault="00496C14" w:rsidP="00AE2839">
      <w:pPr>
        <w:pStyle w:val="GvdeMetni"/>
        <w:spacing w:before="0" w:beforeAutospacing="0" w:after="0" w:afterAutospacing="0"/>
        <w:jc w:val="center"/>
        <w:rPr>
          <w:sz w:val="22"/>
          <w:szCs w:val="22"/>
          <w:lang w:val="en-US"/>
        </w:rPr>
      </w:pPr>
      <w:r w:rsidRPr="003A3376">
        <w:rPr>
          <w:sz w:val="22"/>
          <w:szCs w:val="22"/>
          <w:lang w:val="en-US"/>
        </w:rPr>
        <w:t>Loan No./Credit No./ Grant No.:</w:t>
      </w:r>
      <w:r w:rsidR="00547100" w:rsidRPr="003A3376">
        <w:rPr>
          <w:sz w:val="22"/>
          <w:szCs w:val="22"/>
          <w:lang w:val="en-US"/>
        </w:rPr>
        <w:t xml:space="preserve"> AFD CTR 1075 01 </w:t>
      </w:r>
      <w:r w:rsidR="00AE2839" w:rsidRPr="003A3376">
        <w:rPr>
          <w:sz w:val="22"/>
          <w:szCs w:val="22"/>
          <w:lang w:val="en-US"/>
        </w:rPr>
        <w:t xml:space="preserve">K / </w:t>
      </w:r>
      <w:r w:rsidR="00AE2839" w:rsidRPr="00EB7E0B">
        <w:rPr>
          <w:sz w:val="22"/>
          <w:szCs w:val="22"/>
          <w:lang w:val="en-US"/>
        </w:rPr>
        <w:t>AFD CTR 1075 06 R</w:t>
      </w:r>
    </w:p>
    <w:p w14:paraId="26D7A567" w14:textId="77777777" w:rsidR="00AE2839" w:rsidRPr="003A3376" w:rsidRDefault="00AE2839" w:rsidP="00AE2839">
      <w:pPr>
        <w:pStyle w:val="GvdeMetni"/>
        <w:spacing w:before="0" w:beforeAutospacing="0" w:after="0" w:afterAutospacing="0"/>
        <w:jc w:val="center"/>
        <w:rPr>
          <w:b/>
          <w:spacing w:val="-2"/>
          <w:sz w:val="22"/>
          <w:szCs w:val="22"/>
          <w:lang w:val="en-US"/>
        </w:rPr>
      </w:pPr>
    </w:p>
    <w:p w14:paraId="39F1159E" w14:textId="77777777" w:rsidR="00496C14" w:rsidRPr="003A3376" w:rsidRDefault="00496C14" w:rsidP="00496C14">
      <w:pPr>
        <w:suppressAutoHyphens/>
        <w:rPr>
          <w:iCs/>
          <w:sz w:val="22"/>
          <w:szCs w:val="22"/>
          <w:lang w:val="en-US"/>
        </w:rPr>
      </w:pPr>
      <w:r w:rsidRPr="003A3376">
        <w:rPr>
          <w:b/>
          <w:spacing w:val="-2"/>
          <w:sz w:val="22"/>
          <w:szCs w:val="22"/>
          <w:lang w:val="en-US"/>
        </w:rPr>
        <w:t>Reference No</w:t>
      </w:r>
      <w:r w:rsidRPr="003A3376">
        <w:rPr>
          <w:spacing w:val="-2"/>
          <w:sz w:val="22"/>
          <w:szCs w:val="22"/>
          <w:lang w:val="en-US"/>
        </w:rPr>
        <w:t xml:space="preserve">.: </w:t>
      </w:r>
      <w:r w:rsidR="00BD2CFD" w:rsidRPr="003A3376">
        <w:rPr>
          <w:iCs/>
          <w:sz w:val="22"/>
          <w:szCs w:val="22"/>
          <w:lang w:val="en-US"/>
        </w:rPr>
        <w:t>AFD-IND04</w:t>
      </w:r>
    </w:p>
    <w:p w14:paraId="70D726E3" w14:textId="77777777" w:rsidR="00AE2839" w:rsidRPr="003A3376" w:rsidRDefault="00AE2839" w:rsidP="00496C14">
      <w:pPr>
        <w:suppressAutoHyphens/>
        <w:rPr>
          <w:spacing w:val="-2"/>
          <w:sz w:val="22"/>
          <w:szCs w:val="22"/>
          <w:lang w:val="en-US"/>
        </w:rPr>
      </w:pPr>
    </w:p>
    <w:p w14:paraId="08FBC02A" w14:textId="19BF58B7" w:rsidR="00496C14" w:rsidRPr="003A3376" w:rsidRDefault="002352A9" w:rsidP="00496C14">
      <w:pPr>
        <w:suppressAutoHyphens/>
        <w:spacing w:before="120" w:after="120"/>
        <w:jc w:val="both"/>
        <w:rPr>
          <w:sz w:val="22"/>
          <w:szCs w:val="22"/>
          <w:lang w:val="en-US"/>
        </w:rPr>
      </w:pPr>
      <w:r w:rsidRPr="003A3376">
        <w:rPr>
          <w:spacing w:val="-2"/>
          <w:sz w:val="22"/>
          <w:szCs w:val="22"/>
          <w:lang w:val="en-US"/>
        </w:rPr>
        <w:t>I</w:t>
      </w:r>
      <w:r w:rsidR="006551CC" w:rsidRPr="003A3376">
        <w:rPr>
          <w:spacing w:val="-2"/>
          <w:sz w:val="22"/>
          <w:szCs w:val="22"/>
          <w:lang w:val="en-US"/>
        </w:rPr>
        <w:t>LBANK</w:t>
      </w:r>
      <w:r w:rsidR="00496C14" w:rsidRPr="003A3376">
        <w:rPr>
          <w:spacing w:val="-2"/>
          <w:sz w:val="22"/>
          <w:szCs w:val="22"/>
          <w:lang w:val="en-US"/>
        </w:rPr>
        <w:t xml:space="preserve"> ("</w:t>
      </w:r>
      <w:r w:rsidR="006A08B5" w:rsidRPr="003A3376">
        <w:rPr>
          <w:spacing w:val="-2"/>
          <w:sz w:val="22"/>
          <w:szCs w:val="22"/>
          <w:lang w:val="en-US"/>
        </w:rPr>
        <w:t xml:space="preserve">the </w:t>
      </w:r>
      <w:r w:rsidR="000D0DA6" w:rsidRPr="003A3376">
        <w:rPr>
          <w:spacing w:val="-2"/>
          <w:sz w:val="22"/>
          <w:szCs w:val="22"/>
          <w:lang w:val="en-US"/>
        </w:rPr>
        <w:t>Beneficiary</w:t>
      </w:r>
      <w:r w:rsidR="00496C14" w:rsidRPr="003A3376">
        <w:rPr>
          <w:spacing w:val="-2"/>
          <w:sz w:val="22"/>
          <w:szCs w:val="22"/>
          <w:lang w:val="en-US"/>
        </w:rPr>
        <w:t xml:space="preserve">") has received </w:t>
      </w:r>
      <w:r w:rsidR="006A08B5" w:rsidRPr="003A3376">
        <w:rPr>
          <w:spacing w:val="-2"/>
          <w:sz w:val="22"/>
          <w:szCs w:val="22"/>
          <w:lang w:val="en-US"/>
        </w:rPr>
        <w:t xml:space="preserve">a grant </w:t>
      </w:r>
      <w:r w:rsidR="00496C14" w:rsidRPr="003A3376">
        <w:rPr>
          <w:spacing w:val="-2"/>
          <w:sz w:val="22"/>
          <w:szCs w:val="22"/>
          <w:lang w:val="en-US"/>
        </w:rPr>
        <w:t>from the</w:t>
      </w:r>
      <w:r w:rsidR="00A23184" w:rsidRPr="003A3376">
        <w:rPr>
          <w:spacing w:val="-2"/>
          <w:sz w:val="22"/>
          <w:szCs w:val="22"/>
          <w:lang w:val="en-US"/>
        </w:rPr>
        <w:t xml:space="preserve"> </w:t>
      </w:r>
      <w:r w:rsidR="00B76C0D" w:rsidRPr="003A3376">
        <w:rPr>
          <w:spacing w:val="-2"/>
          <w:sz w:val="22"/>
          <w:szCs w:val="22"/>
          <w:lang w:val="en-US"/>
        </w:rPr>
        <w:t>French Development Agency (</w:t>
      </w:r>
      <w:r w:rsidR="00A23184" w:rsidRPr="003A3376">
        <w:rPr>
          <w:spacing w:val="-2"/>
          <w:sz w:val="22"/>
          <w:szCs w:val="22"/>
          <w:lang w:val="en-US"/>
        </w:rPr>
        <w:t>Agence Française de Développement</w:t>
      </w:r>
      <w:r w:rsidR="000D0DA6" w:rsidRPr="003A3376">
        <w:rPr>
          <w:spacing w:val="-2"/>
          <w:sz w:val="22"/>
          <w:szCs w:val="22"/>
          <w:lang w:val="en-US"/>
        </w:rPr>
        <w:t xml:space="preserve"> – “</w:t>
      </w:r>
      <w:r w:rsidR="00B76C0D" w:rsidRPr="003A3376">
        <w:rPr>
          <w:spacing w:val="-2"/>
          <w:sz w:val="22"/>
          <w:szCs w:val="22"/>
          <w:lang w:val="en-US"/>
        </w:rPr>
        <w:t>AFD</w:t>
      </w:r>
      <w:r w:rsidR="000D0DA6" w:rsidRPr="003A3376">
        <w:rPr>
          <w:spacing w:val="-2"/>
          <w:sz w:val="22"/>
          <w:szCs w:val="22"/>
          <w:lang w:val="en-US"/>
        </w:rPr>
        <w:t>”</w:t>
      </w:r>
      <w:r w:rsidR="00B76C0D" w:rsidRPr="003A3376">
        <w:rPr>
          <w:spacing w:val="-2"/>
          <w:sz w:val="22"/>
          <w:szCs w:val="22"/>
          <w:lang w:val="en-US"/>
        </w:rPr>
        <w:t>)</w:t>
      </w:r>
      <w:r w:rsidR="006A08B5" w:rsidRPr="003A3376">
        <w:rPr>
          <w:spacing w:val="-2"/>
          <w:sz w:val="22"/>
          <w:szCs w:val="22"/>
          <w:lang w:val="en-US"/>
        </w:rPr>
        <w:t>, for the purpose of</w:t>
      </w:r>
      <w:r w:rsidR="000D0DA6" w:rsidRPr="003A3376">
        <w:rPr>
          <w:spacing w:val="-2"/>
          <w:sz w:val="22"/>
          <w:szCs w:val="22"/>
          <w:lang w:val="en-US"/>
        </w:rPr>
        <w:t xml:space="preserve"> financing</w:t>
      </w:r>
      <w:r w:rsidR="00496C14" w:rsidRPr="003A3376">
        <w:rPr>
          <w:spacing w:val="-2"/>
          <w:sz w:val="22"/>
          <w:szCs w:val="22"/>
          <w:lang w:val="en-US"/>
        </w:rPr>
        <w:t xml:space="preserve"> the cost</w:t>
      </w:r>
      <w:r w:rsidR="000D0DA6" w:rsidRPr="003A3376">
        <w:rPr>
          <w:spacing w:val="-2"/>
          <w:sz w:val="22"/>
          <w:szCs w:val="22"/>
          <w:lang w:val="en-US"/>
        </w:rPr>
        <w:t>s</w:t>
      </w:r>
      <w:r w:rsidR="00496C14" w:rsidRPr="003A3376">
        <w:rPr>
          <w:spacing w:val="-2"/>
          <w:sz w:val="22"/>
          <w:szCs w:val="22"/>
          <w:lang w:val="en-US"/>
        </w:rPr>
        <w:t xml:space="preserve"> of the </w:t>
      </w:r>
      <w:r w:rsidR="000E371F" w:rsidRPr="003A3376">
        <w:rPr>
          <w:spacing w:val="-2"/>
          <w:sz w:val="22"/>
          <w:szCs w:val="22"/>
          <w:lang w:val="en-US"/>
        </w:rPr>
        <w:t>“Municipal Services Project I”</w:t>
      </w:r>
      <w:r w:rsidR="00BE5D91">
        <w:rPr>
          <w:spacing w:val="-2"/>
          <w:sz w:val="22"/>
          <w:szCs w:val="22"/>
          <w:lang w:val="en-US"/>
        </w:rPr>
        <w:t xml:space="preserve"> </w:t>
      </w:r>
      <w:r w:rsidR="00A70DC9">
        <w:rPr>
          <w:spacing w:val="-2"/>
          <w:sz w:val="22"/>
          <w:szCs w:val="22"/>
          <w:lang w:val="en-US"/>
        </w:rPr>
        <w:t>(</w:t>
      </w:r>
      <w:r w:rsidR="006A08B5" w:rsidRPr="003A3376">
        <w:rPr>
          <w:spacing w:val="-2"/>
          <w:sz w:val="22"/>
          <w:szCs w:val="22"/>
          <w:lang w:val="en-US"/>
        </w:rPr>
        <w:t xml:space="preserve">the content of which is further described in the </w:t>
      </w:r>
      <w:r w:rsidR="00A70DC9">
        <w:rPr>
          <w:spacing w:val="-2"/>
          <w:sz w:val="22"/>
          <w:szCs w:val="22"/>
          <w:lang w:val="en-US"/>
        </w:rPr>
        <w:t>Appendix</w:t>
      </w:r>
      <w:r w:rsidR="00A70DC9" w:rsidRPr="003A3376">
        <w:rPr>
          <w:spacing w:val="-2"/>
          <w:sz w:val="22"/>
          <w:szCs w:val="22"/>
          <w:lang w:val="en-US"/>
        </w:rPr>
        <w:t xml:space="preserve"> </w:t>
      </w:r>
      <w:r w:rsidR="006A08B5" w:rsidRPr="003A3376">
        <w:rPr>
          <w:spacing w:val="-2"/>
          <w:sz w:val="22"/>
          <w:szCs w:val="22"/>
          <w:lang w:val="en-US"/>
        </w:rPr>
        <w:t>1 below</w:t>
      </w:r>
      <w:r w:rsidR="00A70DC9">
        <w:rPr>
          <w:spacing w:val="-2"/>
          <w:sz w:val="22"/>
          <w:szCs w:val="22"/>
          <w:lang w:val="en-US"/>
        </w:rPr>
        <w:t>)</w:t>
      </w:r>
      <w:r w:rsidR="006A08B5" w:rsidRPr="003A3376">
        <w:rPr>
          <w:spacing w:val="-2"/>
          <w:sz w:val="22"/>
          <w:szCs w:val="22"/>
          <w:lang w:val="en-US"/>
        </w:rPr>
        <w:t>. ILBANK</w:t>
      </w:r>
      <w:r w:rsidR="00496C14" w:rsidRPr="003A3376">
        <w:rPr>
          <w:spacing w:val="-2"/>
          <w:sz w:val="22"/>
          <w:szCs w:val="22"/>
          <w:lang w:val="en-US"/>
        </w:rPr>
        <w:t xml:space="preserve"> intends to apply part of the proceeds for the recruitment of individual consultant services ("the Services") </w:t>
      </w:r>
      <w:r w:rsidR="000F7E68" w:rsidRPr="003A3376">
        <w:rPr>
          <w:sz w:val="22"/>
          <w:szCs w:val="22"/>
          <w:lang w:val="en-US"/>
        </w:rPr>
        <w:t>for Social Consultant position (</w:t>
      </w:r>
      <w:r w:rsidR="000F7E68" w:rsidRPr="003A3376">
        <w:rPr>
          <w:iCs/>
          <w:sz w:val="22"/>
          <w:szCs w:val="22"/>
          <w:lang w:val="en-US"/>
        </w:rPr>
        <w:t xml:space="preserve">AFD-IND04). </w:t>
      </w:r>
      <w:r w:rsidR="000F7E68" w:rsidRPr="00DE6093">
        <w:rPr>
          <w:iCs/>
          <w:sz w:val="22"/>
          <w:szCs w:val="22"/>
          <w:lang w:val="en-US"/>
        </w:rPr>
        <w:t xml:space="preserve">One consultant will be hired </w:t>
      </w:r>
      <w:r w:rsidR="007A3126" w:rsidRPr="00DE6093">
        <w:rPr>
          <w:iCs/>
          <w:sz w:val="22"/>
          <w:szCs w:val="22"/>
          <w:lang w:val="en-US"/>
        </w:rPr>
        <w:t xml:space="preserve">on </w:t>
      </w:r>
      <w:r w:rsidR="000F7E68" w:rsidRPr="00814262">
        <w:rPr>
          <w:b/>
          <w:iCs/>
          <w:sz w:val="22"/>
          <w:szCs w:val="22"/>
          <w:lang w:val="en-US"/>
        </w:rPr>
        <w:t>a full-time</w:t>
      </w:r>
      <w:r w:rsidR="00DE6093">
        <w:rPr>
          <w:b/>
          <w:iCs/>
          <w:sz w:val="22"/>
          <w:szCs w:val="22"/>
          <w:lang w:val="en-US"/>
        </w:rPr>
        <w:t xml:space="preserve"> </w:t>
      </w:r>
      <w:r w:rsidR="000F7E68" w:rsidRPr="00DE6093">
        <w:rPr>
          <w:iCs/>
          <w:sz w:val="22"/>
          <w:szCs w:val="22"/>
          <w:lang w:val="en-US"/>
        </w:rPr>
        <w:t>basis</w:t>
      </w:r>
      <w:r w:rsidR="000F7E68" w:rsidRPr="003A3376">
        <w:rPr>
          <w:iCs/>
          <w:sz w:val="22"/>
          <w:szCs w:val="22"/>
          <w:lang w:val="en-US"/>
        </w:rPr>
        <w:t xml:space="preserve">. </w:t>
      </w:r>
    </w:p>
    <w:p w14:paraId="3D07BBBD" w14:textId="08A01E77" w:rsidR="00496C14" w:rsidRPr="00BE5D91" w:rsidRDefault="004E2A16" w:rsidP="00EB7E0B">
      <w:pPr>
        <w:suppressAutoHyphens/>
        <w:jc w:val="both"/>
        <w:rPr>
          <w:rStyle w:val="AklamaBavurusu"/>
          <w:sz w:val="22"/>
          <w:szCs w:val="22"/>
          <w:lang w:val="en-US"/>
        </w:rPr>
      </w:pPr>
      <w:r w:rsidRPr="003A3376">
        <w:rPr>
          <w:spacing w:val="-2"/>
          <w:sz w:val="22"/>
          <w:szCs w:val="22"/>
          <w:lang w:val="en-US"/>
        </w:rPr>
        <w:t xml:space="preserve">The </w:t>
      </w:r>
      <w:r w:rsidR="00A70DC9">
        <w:rPr>
          <w:spacing w:val="-2"/>
          <w:sz w:val="22"/>
          <w:szCs w:val="22"/>
          <w:lang w:val="en-US"/>
        </w:rPr>
        <w:t>s</w:t>
      </w:r>
      <w:r w:rsidR="000F7E68" w:rsidRPr="003A3376">
        <w:rPr>
          <w:spacing w:val="-2"/>
          <w:sz w:val="22"/>
          <w:szCs w:val="22"/>
          <w:lang w:val="en-US"/>
        </w:rPr>
        <w:t>ocial</w:t>
      </w:r>
      <w:r w:rsidRPr="003A3376">
        <w:rPr>
          <w:spacing w:val="-2"/>
          <w:sz w:val="22"/>
          <w:szCs w:val="22"/>
          <w:lang w:val="en-US"/>
        </w:rPr>
        <w:t xml:space="preserve"> </w:t>
      </w:r>
      <w:r w:rsidR="00A70DC9">
        <w:rPr>
          <w:spacing w:val="-2"/>
          <w:sz w:val="22"/>
          <w:szCs w:val="22"/>
          <w:lang w:val="en-US"/>
        </w:rPr>
        <w:t>c</w:t>
      </w:r>
      <w:r w:rsidRPr="003A3376">
        <w:rPr>
          <w:spacing w:val="-2"/>
          <w:sz w:val="22"/>
          <w:szCs w:val="22"/>
          <w:lang w:val="en-US"/>
        </w:rPr>
        <w:t>onsultant will join ILBANK’s Project Management Unit, with</w:t>
      </w:r>
      <w:r w:rsidR="001102E1" w:rsidRPr="003A3376">
        <w:rPr>
          <w:spacing w:val="-2"/>
          <w:sz w:val="22"/>
          <w:szCs w:val="22"/>
          <w:lang w:val="en-US"/>
        </w:rPr>
        <w:t>in</w:t>
      </w:r>
      <w:r w:rsidRPr="003A3376">
        <w:rPr>
          <w:spacing w:val="-2"/>
          <w:sz w:val="22"/>
          <w:szCs w:val="22"/>
          <w:lang w:val="en-US"/>
        </w:rPr>
        <w:t xml:space="preserve"> its Department of </w:t>
      </w:r>
      <w:r w:rsidRPr="00BE5D91">
        <w:rPr>
          <w:spacing w:val="-2"/>
          <w:sz w:val="22"/>
          <w:szCs w:val="22"/>
          <w:lang w:val="en-US"/>
        </w:rPr>
        <w:t xml:space="preserve">International </w:t>
      </w:r>
      <w:r w:rsidR="00EB7E0B" w:rsidRPr="00BE5D91">
        <w:rPr>
          <w:spacing w:val="-2"/>
          <w:sz w:val="22"/>
          <w:szCs w:val="22"/>
          <w:lang w:val="en-US"/>
        </w:rPr>
        <w:t>R</w:t>
      </w:r>
      <w:r w:rsidRPr="00BE5D91">
        <w:rPr>
          <w:spacing w:val="-2"/>
          <w:sz w:val="22"/>
          <w:szCs w:val="22"/>
          <w:lang w:val="en-US"/>
        </w:rPr>
        <w:t>elations</w:t>
      </w:r>
      <w:r w:rsidR="006071A2" w:rsidRPr="00BE5D91">
        <w:rPr>
          <w:spacing w:val="-2"/>
          <w:sz w:val="22"/>
          <w:szCs w:val="22"/>
          <w:lang w:val="en-US"/>
        </w:rPr>
        <w:t xml:space="preserve"> </w:t>
      </w:r>
      <w:r w:rsidR="00EB7E0B" w:rsidRPr="00BE5D91">
        <w:rPr>
          <w:spacing w:val="-2"/>
          <w:sz w:val="22"/>
          <w:szCs w:val="22"/>
          <w:lang w:val="en-US"/>
        </w:rPr>
        <w:t xml:space="preserve">at its headquarters </w:t>
      </w:r>
      <w:r w:rsidR="006071A2" w:rsidRPr="00BE5D91">
        <w:rPr>
          <w:spacing w:val="-2"/>
          <w:sz w:val="22"/>
          <w:szCs w:val="22"/>
          <w:lang w:val="en-US"/>
        </w:rPr>
        <w:t>in Ankara</w:t>
      </w:r>
      <w:r w:rsidR="009C54B7" w:rsidRPr="00BE5D91">
        <w:rPr>
          <w:spacing w:val="-2"/>
          <w:sz w:val="22"/>
          <w:szCs w:val="22"/>
          <w:lang w:val="en-US"/>
        </w:rPr>
        <w:t xml:space="preserve">, to participate in the daily tasks and activities associated with the management of the Project’s implementation, in close collaboration with ILBANK’s </w:t>
      </w:r>
      <w:r w:rsidR="00A70DC9" w:rsidRPr="00BE5D91">
        <w:rPr>
          <w:spacing w:val="-2"/>
          <w:sz w:val="22"/>
          <w:szCs w:val="22"/>
          <w:lang w:val="en-US"/>
        </w:rPr>
        <w:t xml:space="preserve">Regional </w:t>
      </w:r>
      <w:r w:rsidR="009C54B7" w:rsidRPr="00BE5D91">
        <w:rPr>
          <w:spacing w:val="-2"/>
          <w:sz w:val="22"/>
          <w:szCs w:val="22"/>
          <w:lang w:val="en-US"/>
        </w:rPr>
        <w:t xml:space="preserve">Directorates and involved </w:t>
      </w:r>
      <w:r w:rsidR="00EB7E0B" w:rsidRPr="00BE5D91">
        <w:rPr>
          <w:spacing w:val="-2"/>
          <w:sz w:val="22"/>
          <w:szCs w:val="22"/>
          <w:lang w:val="en-US"/>
        </w:rPr>
        <w:t>Water and Wastewater Administrations (</w:t>
      </w:r>
      <w:r w:rsidR="009C54B7" w:rsidRPr="00BE5D91">
        <w:rPr>
          <w:spacing w:val="-2"/>
          <w:sz w:val="22"/>
          <w:szCs w:val="22"/>
          <w:lang w:val="en-US"/>
        </w:rPr>
        <w:t>SKIs</w:t>
      </w:r>
      <w:r w:rsidR="00EB7E0B" w:rsidRPr="00BE5D91">
        <w:rPr>
          <w:spacing w:val="-2"/>
          <w:sz w:val="22"/>
          <w:szCs w:val="22"/>
          <w:lang w:val="en-US"/>
        </w:rPr>
        <w:t>)</w:t>
      </w:r>
      <w:r w:rsidR="009C54B7" w:rsidRPr="00BE5D91">
        <w:rPr>
          <w:spacing w:val="-2"/>
          <w:sz w:val="22"/>
          <w:szCs w:val="22"/>
          <w:lang w:val="en-US"/>
        </w:rPr>
        <w:t xml:space="preserve"> and Municipalities. </w:t>
      </w:r>
      <w:r w:rsidRPr="00BE5D91">
        <w:rPr>
          <w:spacing w:val="-2"/>
          <w:sz w:val="22"/>
          <w:szCs w:val="22"/>
          <w:lang w:val="en-US"/>
        </w:rPr>
        <w:t xml:space="preserve">The Services are expected to start in </w:t>
      </w:r>
      <w:r w:rsidR="00CA65CC">
        <w:rPr>
          <w:spacing w:val="-2"/>
          <w:sz w:val="22"/>
          <w:szCs w:val="22"/>
          <w:lang w:val="en-US"/>
        </w:rPr>
        <w:t>April</w:t>
      </w:r>
      <w:r w:rsidR="00CA65CC" w:rsidRPr="00BE5D91">
        <w:rPr>
          <w:spacing w:val="-2"/>
          <w:sz w:val="22"/>
          <w:szCs w:val="22"/>
          <w:lang w:val="en-US"/>
        </w:rPr>
        <w:t xml:space="preserve"> 202</w:t>
      </w:r>
      <w:r w:rsidR="00CA65CC">
        <w:rPr>
          <w:spacing w:val="-2"/>
          <w:sz w:val="22"/>
          <w:szCs w:val="22"/>
          <w:lang w:val="en-US"/>
        </w:rPr>
        <w:t>5</w:t>
      </w:r>
      <w:r w:rsidRPr="00BE5D91">
        <w:rPr>
          <w:spacing w:val="-2"/>
          <w:sz w:val="22"/>
          <w:szCs w:val="22"/>
          <w:lang w:val="en-US"/>
        </w:rPr>
        <w:t>.</w:t>
      </w:r>
      <w:r w:rsidR="001102E1" w:rsidRPr="00BE5D91">
        <w:rPr>
          <w:spacing w:val="-2"/>
          <w:sz w:val="22"/>
          <w:szCs w:val="22"/>
          <w:lang w:val="en-US"/>
        </w:rPr>
        <w:t xml:space="preserve"> </w:t>
      </w:r>
      <w:r w:rsidR="00496C14" w:rsidRPr="00007F72">
        <w:rPr>
          <w:b/>
          <w:spacing w:val="-2"/>
          <w:sz w:val="22"/>
          <w:szCs w:val="22"/>
          <w:lang w:val="en-US"/>
        </w:rPr>
        <w:t>The estimated duration of</w:t>
      </w:r>
      <w:r w:rsidR="001F28C6" w:rsidRPr="00007F72">
        <w:rPr>
          <w:b/>
          <w:spacing w:val="-2"/>
          <w:sz w:val="22"/>
          <w:szCs w:val="22"/>
          <w:lang w:val="en-US"/>
        </w:rPr>
        <w:t xml:space="preserve"> the Project is</w:t>
      </w:r>
      <w:r w:rsidR="000D0DA6" w:rsidRPr="00007F72">
        <w:rPr>
          <w:b/>
          <w:spacing w:val="-2"/>
          <w:sz w:val="22"/>
          <w:szCs w:val="22"/>
          <w:lang w:val="en-US"/>
        </w:rPr>
        <w:t xml:space="preserve"> approximately</w:t>
      </w:r>
      <w:r w:rsidR="001F28C6" w:rsidRPr="00007F72">
        <w:rPr>
          <w:b/>
          <w:spacing w:val="-2"/>
          <w:sz w:val="22"/>
          <w:szCs w:val="22"/>
          <w:lang w:val="en-US"/>
        </w:rPr>
        <w:t xml:space="preserve"> </w:t>
      </w:r>
      <w:r w:rsidR="00C01199" w:rsidRPr="00007F72">
        <w:rPr>
          <w:b/>
          <w:spacing w:val="-2"/>
          <w:sz w:val="22"/>
          <w:szCs w:val="22"/>
          <w:lang w:val="en-US"/>
        </w:rPr>
        <w:t xml:space="preserve">3 </w:t>
      </w:r>
      <w:r w:rsidR="001F28C6" w:rsidRPr="00007F72">
        <w:rPr>
          <w:b/>
          <w:spacing w:val="-2"/>
          <w:sz w:val="22"/>
          <w:szCs w:val="22"/>
          <w:lang w:val="en-US"/>
        </w:rPr>
        <w:t>years.</w:t>
      </w:r>
      <w:r w:rsidR="001F28C6" w:rsidRPr="00BE5D91">
        <w:rPr>
          <w:spacing w:val="-2"/>
          <w:sz w:val="22"/>
          <w:szCs w:val="22"/>
          <w:lang w:val="en-US"/>
        </w:rPr>
        <w:t xml:space="preserve"> </w:t>
      </w:r>
      <w:r w:rsidR="003F212A" w:rsidRPr="00BE5D91">
        <w:rPr>
          <w:spacing w:val="-2"/>
          <w:sz w:val="22"/>
          <w:szCs w:val="22"/>
          <w:lang w:val="en-US"/>
        </w:rPr>
        <w:t>One</w:t>
      </w:r>
      <w:r w:rsidR="000D0DA6" w:rsidRPr="00BE5D91">
        <w:rPr>
          <w:spacing w:val="-2"/>
          <w:sz w:val="22"/>
          <w:szCs w:val="22"/>
          <w:lang w:val="en-US"/>
        </w:rPr>
        <w:t>-</w:t>
      </w:r>
      <w:r w:rsidR="003F212A" w:rsidRPr="00BE5D91">
        <w:rPr>
          <w:spacing w:val="-2"/>
          <w:sz w:val="22"/>
          <w:szCs w:val="22"/>
          <w:lang w:val="en-US"/>
        </w:rPr>
        <w:t>year</w:t>
      </w:r>
      <w:r w:rsidR="007A3126" w:rsidRPr="00BE5D91">
        <w:rPr>
          <w:spacing w:val="-2"/>
          <w:sz w:val="22"/>
          <w:szCs w:val="22"/>
          <w:lang w:val="en-US"/>
        </w:rPr>
        <w:t xml:space="preserve"> renewable</w:t>
      </w:r>
      <w:r w:rsidR="003F212A" w:rsidRPr="00BE5D91">
        <w:rPr>
          <w:spacing w:val="-2"/>
          <w:sz w:val="22"/>
          <w:szCs w:val="22"/>
          <w:lang w:val="en-US"/>
        </w:rPr>
        <w:t xml:space="preserve"> contract</w:t>
      </w:r>
      <w:r w:rsidR="002243CF" w:rsidRPr="00BE5D91">
        <w:rPr>
          <w:spacing w:val="-2"/>
          <w:sz w:val="22"/>
          <w:szCs w:val="22"/>
          <w:lang w:val="en-US"/>
        </w:rPr>
        <w:t xml:space="preserve"> with a 2 (two) </w:t>
      </w:r>
      <w:r w:rsidR="00BE5D91" w:rsidRPr="00BE5D91">
        <w:rPr>
          <w:spacing w:val="-2"/>
          <w:sz w:val="22"/>
          <w:szCs w:val="22"/>
          <w:lang w:val="en-US"/>
        </w:rPr>
        <w:t>months’ probation</w:t>
      </w:r>
      <w:r w:rsidR="002243CF" w:rsidRPr="00BE5D91">
        <w:rPr>
          <w:spacing w:val="-2"/>
          <w:sz w:val="22"/>
          <w:szCs w:val="22"/>
          <w:lang w:val="en-US"/>
        </w:rPr>
        <w:t xml:space="preserve"> period</w:t>
      </w:r>
      <w:r w:rsidR="003F212A" w:rsidRPr="00BE5D91">
        <w:rPr>
          <w:spacing w:val="-2"/>
          <w:sz w:val="22"/>
          <w:szCs w:val="22"/>
          <w:lang w:val="en-US"/>
        </w:rPr>
        <w:t xml:space="preserve"> will be signed with </w:t>
      </w:r>
      <w:r w:rsidR="000F7E68" w:rsidRPr="00BE5D91">
        <w:rPr>
          <w:spacing w:val="-2"/>
          <w:sz w:val="22"/>
          <w:szCs w:val="22"/>
          <w:lang w:val="en-US"/>
        </w:rPr>
        <w:t>the Social C</w:t>
      </w:r>
      <w:r w:rsidR="003F212A" w:rsidRPr="00BE5D91">
        <w:rPr>
          <w:spacing w:val="-2"/>
          <w:sz w:val="22"/>
          <w:szCs w:val="22"/>
          <w:lang w:val="en-US"/>
        </w:rPr>
        <w:t>onsultant.</w:t>
      </w:r>
      <w:r w:rsidR="00496C14" w:rsidRPr="00BE5D91">
        <w:rPr>
          <w:spacing w:val="-2"/>
          <w:sz w:val="22"/>
          <w:szCs w:val="22"/>
          <w:lang w:val="en-US"/>
        </w:rPr>
        <w:t xml:space="preserve"> </w:t>
      </w:r>
    </w:p>
    <w:p w14:paraId="6CBA0924" w14:textId="1B0FEC91" w:rsidR="00660C89" w:rsidRDefault="002352A9" w:rsidP="00EB7E0B">
      <w:pPr>
        <w:spacing w:before="120"/>
        <w:jc w:val="both"/>
        <w:rPr>
          <w:spacing w:val="-2"/>
          <w:sz w:val="22"/>
          <w:szCs w:val="22"/>
          <w:lang w:val="en-US"/>
        </w:rPr>
      </w:pPr>
      <w:r w:rsidRPr="00BE5D91">
        <w:rPr>
          <w:spacing w:val="-2"/>
          <w:sz w:val="22"/>
          <w:szCs w:val="22"/>
          <w:lang w:val="en-US"/>
        </w:rPr>
        <w:t>I</w:t>
      </w:r>
      <w:r w:rsidR="00496C14" w:rsidRPr="00BE5D91">
        <w:rPr>
          <w:spacing w:val="-2"/>
          <w:sz w:val="22"/>
          <w:szCs w:val="22"/>
          <w:lang w:val="en-US"/>
        </w:rPr>
        <w:t xml:space="preserve">LBANK invites eligible </w:t>
      </w:r>
      <w:r w:rsidR="0072637E" w:rsidRPr="00BE5D91">
        <w:rPr>
          <w:spacing w:val="-2"/>
          <w:sz w:val="22"/>
          <w:szCs w:val="22"/>
          <w:lang w:val="en-US"/>
        </w:rPr>
        <w:t>applicants</w:t>
      </w:r>
      <w:r w:rsidR="00496C14" w:rsidRPr="00BE5D91">
        <w:rPr>
          <w:spacing w:val="-2"/>
          <w:sz w:val="22"/>
          <w:szCs w:val="22"/>
          <w:lang w:val="en-US"/>
        </w:rPr>
        <w:t xml:space="preserve"> to indicate their interests for the </w:t>
      </w:r>
      <w:r w:rsidR="0084025C" w:rsidRPr="00BE5D91">
        <w:rPr>
          <w:spacing w:val="-2"/>
          <w:sz w:val="22"/>
          <w:szCs w:val="22"/>
          <w:lang w:val="en-US"/>
        </w:rPr>
        <w:t>S</w:t>
      </w:r>
      <w:r w:rsidR="00496C14" w:rsidRPr="00BE5D91">
        <w:rPr>
          <w:spacing w:val="-2"/>
          <w:sz w:val="22"/>
          <w:szCs w:val="22"/>
          <w:lang w:val="en-US"/>
        </w:rPr>
        <w:t>ervices</w:t>
      </w:r>
      <w:r w:rsidR="00633775" w:rsidRPr="00BE5D91">
        <w:rPr>
          <w:spacing w:val="-2"/>
          <w:sz w:val="22"/>
          <w:szCs w:val="22"/>
          <w:lang w:val="en-US"/>
        </w:rPr>
        <w:t xml:space="preserve"> mentioned above</w:t>
      </w:r>
      <w:r w:rsidR="00496C14" w:rsidRPr="00BE5D91">
        <w:rPr>
          <w:spacing w:val="-2"/>
          <w:sz w:val="22"/>
          <w:szCs w:val="22"/>
          <w:lang w:val="en-US"/>
        </w:rPr>
        <w:t xml:space="preserve">. </w:t>
      </w:r>
      <w:r w:rsidR="00660C89" w:rsidRPr="00BE5D91">
        <w:rPr>
          <w:spacing w:val="-2"/>
          <w:sz w:val="22"/>
          <w:szCs w:val="22"/>
          <w:lang w:val="en-US"/>
        </w:rPr>
        <w:t xml:space="preserve"> For </w:t>
      </w:r>
      <w:r w:rsidR="000F7E68" w:rsidRPr="00BE5D91">
        <w:rPr>
          <w:spacing w:val="-2"/>
          <w:sz w:val="22"/>
          <w:szCs w:val="22"/>
          <w:lang w:val="en-US"/>
        </w:rPr>
        <w:t xml:space="preserve">Social Consultant </w:t>
      </w:r>
      <w:r w:rsidR="00660C89" w:rsidRPr="00BE5D91">
        <w:rPr>
          <w:spacing w:val="-2"/>
          <w:sz w:val="22"/>
          <w:szCs w:val="22"/>
          <w:lang w:val="en-US"/>
        </w:rPr>
        <w:t xml:space="preserve">position, at least </w:t>
      </w:r>
      <w:r w:rsidR="00E85C4C">
        <w:rPr>
          <w:spacing w:val="-2"/>
          <w:sz w:val="22"/>
          <w:szCs w:val="22"/>
          <w:lang w:val="en-US"/>
        </w:rPr>
        <w:t>three (</w:t>
      </w:r>
      <w:r w:rsidR="00660C89" w:rsidRPr="00BE5D91">
        <w:rPr>
          <w:spacing w:val="-2"/>
          <w:sz w:val="22"/>
          <w:szCs w:val="22"/>
          <w:lang w:val="en-US"/>
        </w:rPr>
        <w:t>3</w:t>
      </w:r>
      <w:r w:rsidR="00E85C4C">
        <w:rPr>
          <w:spacing w:val="-2"/>
          <w:sz w:val="22"/>
          <w:szCs w:val="22"/>
          <w:lang w:val="en-US"/>
        </w:rPr>
        <w:t>) and a maximum of six (6)</w:t>
      </w:r>
      <w:r w:rsidR="00660C89" w:rsidRPr="00BE5D91">
        <w:rPr>
          <w:spacing w:val="-2"/>
          <w:sz w:val="22"/>
          <w:szCs w:val="22"/>
          <w:lang w:val="en-US"/>
        </w:rPr>
        <w:t xml:space="preserve"> </w:t>
      </w:r>
      <w:r w:rsidR="00E85C4C">
        <w:rPr>
          <w:spacing w:val="-2"/>
          <w:sz w:val="22"/>
          <w:szCs w:val="22"/>
          <w:lang w:val="en-US"/>
        </w:rPr>
        <w:t>eligible candidates</w:t>
      </w:r>
      <w:r w:rsidR="00E85C4C" w:rsidRPr="00BE5D91">
        <w:rPr>
          <w:spacing w:val="-2"/>
          <w:sz w:val="22"/>
          <w:szCs w:val="22"/>
          <w:lang w:val="en-US"/>
        </w:rPr>
        <w:t xml:space="preserve"> </w:t>
      </w:r>
      <w:r w:rsidR="00660C89" w:rsidRPr="00BE5D91">
        <w:rPr>
          <w:spacing w:val="-2"/>
          <w:sz w:val="22"/>
          <w:szCs w:val="22"/>
          <w:lang w:val="en-US"/>
        </w:rPr>
        <w:t>will be shortlisted.</w:t>
      </w:r>
      <w:r w:rsidR="00E85C4C">
        <w:rPr>
          <w:spacing w:val="-2"/>
          <w:sz w:val="22"/>
          <w:szCs w:val="22"/>
          <w:lang w:val="en-US"/>
        </w:rPr>
        <w:t xml:space="preserve"> In case more than six candidates fulfill all shortlisting criteria below, the candidates will be ranked</w:t>
      </w:r>
      <w:r w:rsidR="008F566E">
        <w:rPr>
          <w:spacing w:val="-2"/>
          <w:sz w:val="22"/>
          <w:szCs w:val="22"/>
          <w:lang w:val="en-US"/>
        </w:rPr>
        <w:t xml:space="preserve"> from highest to lowest,</w:t>
      </w:r>
      <w:r w:rsidR="00E85C4C">
        <w:rPr>
          <w:spacing w:val="-2"/>
          <w:sz w:val="22"/>
          <w:szCs w:val="22"/>
          <w:lang w:val="en-US"/>
        </w:rPr>
        <w:t xml:space="preserve"> according to their relevant </w:t>
      </w:r>
      <w:r w:rsidR="006D3E38">
        <w:rPr>
          <w:spacing w:val="-2"/>
          <w:sz w:val="22"/>
          <w:szCs w:val="22"/>
          <w:lang w:val="en-US"/>
        </w:rPr>
        <w:t xml:space="preserve">specific </w:t>
      </w:r>
      <w:r w:rsidR="00E85C4C">
        <w:rPr>
          <w:spacing w:val="-2"/>
          <w:sz w:val="22"/>
          <w:szCs w:val="22"/>
          <w:lang w:val="en-US"/>
        </w:rPr>
        <w:t>profes</w:t>
      </w:r>
      <w:r w:rsidR="00B55E0D">
        <w:rPr>
          <w:spacing w:val="-2"/>
          <w:sz w:val="22"/>
          <w:szCs w:val="22"/>
          <w:lang w:val="en-US"/>
        </w:rPr>
        <w:t>sional experience</w:t>
      </w:r>
      <w:r w:rsidR="006D3E38">
        <w:rPr>
          <w:spacing w:val="-2"/>
          <w:sz w:val="22"/>
          <w:szCs w:val="22"/>
          <w:lang w:val="en-US"/>
        </w:rPr>
        <w:t xml:space="preserve"> that is requested in the third bullet of the criteria list given below</w:t>
      </w:r>
      <w:r w:rsidR="00B55E0D">
        <w:rPr>
          <w:spacing w:val="-2"/>
          <w:sz w:val="22"/>
          <w:szCs w:val="22"/>
          <w:lang w:val="en-US"/>
        </w:rPr>
        <w:t xml:space="preserve"> and only the</w:t>
      </w:r>
      <w:r w:rsidR="00E85C4C">
        <w:rPr>
          <w:spacing w:val="-2"/>
          <w:sz w:val="22"/>
          <w:szCs w:val="22"/>
          <w:lang w:val="en-US"/>
        </w:rPr>
        <w:t xml:space="preserve"> top six candidates</w:t>
      </w:r>
      <w:r w:rsidR="00B55E0D">
        <w:rPr>
          <w:spacing w:val="-2"/>
          <w:sz w:val="22"/>
          <w:szCs w:val="22"/>
          <w:lang w:val="en-US"/>
        </w:rPr>
        <w:t>, after such ranking,</w:t>
      </w:r>
      <w:r w:rsidR="00E85C4C">
        <w:rPr>
          <w:spacing w:val="-2"/>
          <w:sz w:val="22"/>
          <w:szCs w:val="22"/>
          <w:lang w:val="en-US"/>
        </w:rPr>
        <w:t xml:space="preserve"> will be shortlisted.</w:t>
      </w:r>
      <w:r w:rsidR="00660C89" w:rsidRPr="00BE5D91">
        <w:rPr>
          <w:spacing w:val="-2"/>
          <w:sz w:val="22"/>
          <w:szCs w:val="22"/>
          <w:lang w:val="en-US"/>
        </w:rPr>
        <w:t xml:space="preserve"> Those applicants will then receive a Request for Proposal including </w:t>
      </w:r>
      <w:r w:rsidR="005B61A3" w:rsidRPr="00BE5D91">
        <w:rPr>
          <w:spacing w:val="-2"/>
          <w:sz w:val="22"/>
          <w:szCs w:val="22"/>
          <w:lang w:val="en-US"/>
        </w:rPr>
        <w:t>detailed</w:t>
      </w:r>
      <w:r w:rsidR="00660C89" w:rsidRPr="00BE5D91">
        <w:rPr>
          <w:spacing w:val="-2"/>
          <w:sz w:val="22"/>
          <w:szCs w:val="22"/>
          <w:lang w:val="en-US"/>
        </w:rPr>
        <w:t xml:space="preserve"> </w:t>
      </w:r>
      <w:r w:rsidR="00703CC9" w:rsidRPr="00BE5D91">
        <w:rPr>
          <w:spacing w:val="-2"/>
          <w:sz w:val="22"/>
          <w:szCs w:val="22"/>
          <w:lang w:val="en-US"/>
        </w:rPr>
        <w:t>T</w:t>
      </w:r>
      <w:r w:rsidR="00660C89" w:rsidRPr="00BE5D91">
        <w:rPr>
          <w:spacing w:val="-2"/>
          <w:sz w:val="22"/>
          <w:szCs w:val="22"/>
          <w:lang w:val="en-US"/>
        </w:rPr>
        <w:t xml:space="preserve">erms of </w:t>
      </w:r>
      <w:r w:rsidR="00703CC9" w:rsidRPr="00BE5D91">
        <w:rPr>
          <w:spacing w:val="-2"/>
          <w:sz w:val="22"/>
          <w:szCs w:val="22"/>
          <w:lang w:val="en-US"/>
        </w:rPr>
        <w:t>R</w:t>
      </w:r>
      <w:r w:rsidR="00660C89" w:rsidRPr="00BE5D91">
        <w:rPr>
          <w:spacing w:val="-2"/>
          <w:sz w:val="22"/>
          <w:szCs w:val="22"/>
          <w:lang w:val="en-US"/>
        </w:rPr>
        <w:t>eference.</w:t>
      </w:r>
    </w:p>
    <w:p w14:paraId="522D71BA" w14:textId="350691C2" w:rsidR="00E85C4C" w:rsidRPr="00BE5D91" w:rsidRDefault="00C90053" w:rsidP="00EB7E0B">
      <w:pPr>
        <w:spacing w:before="120"/>
        <w:jc w:val="both"/>
        <w:rPr>
          <w:spacing w:val="-2"/>
          <w:sz w:val="22"/>
          <w:szCs w:val="22"/>
          <w:lang w:val="en-US"/>
        </w:rPr>
      </w:pPr>
      <w:r w:rsidRPr="00C90053">
        <w:rPr>
          <w:spacing w:val="-2"/>
          <w:sz w:val="22"/>
          <w:szCs w:val="22"/>
          <w:lang w:val="en-US"/>
        </w:rPr>
        <w:t>The scope of the consultant's services</w:t>
      </w:r>
      <w:r w:rsidR="00115CF9">
        <w:rPr>
          <w:spacing w:val="-2"/>
          <w:sz w:val="22"/>
          <w:szCs w:val="22"/>
          <w:lang w:val="en-US"/>
        </w:rPr>
        <w:t xml:space="preserve"> includes;</w:t>
      </w:r>
      <w:r w:rsidRPr="00C90053">
        <w:rPr>
          <w:spacing w:val="-2"/>
          <w:sz w:val="22"/>
          <w:szCs w:val="22"/>
          <w:lang w:val="en-US"/>
        </w:rPr>
        <w:t xml:space="preserve"> supporting the ILBANK PMU in managing social issues during project</w:t>
      </w:r>
      <w:r w:rsidR="00115CF9">
        <w:rPr>
          <w:spacing w:val="-2"/>
          <w:sz w:val="22"/>
          <w:szCs w:val="22"/>
          <w:lang w:val="en-US"/>
        </w:rPr>
        <w:t xml:space="preserve"> preparation and implementation,</w:t>
      </w:r>
      <w:r w:rsidRPr="00C90053">
        <w:rPr>
          <w:spacing w:val="-2"/>
          <w:sz w:val="22"/>
          <w:szCs w:val="22"/>
          <w:lang w:val="en-US"/>
        </w:rPr>
        <w:t xml:space="preserve"> identify</w:t>
      </w:r>
      <w:r w:rsidR="00115CF9">
        <w:rPr>
          <w:spacing w:val="-2"/>
          <w:sz w:val="22"/>
          <w:szCs w:val="22"/>
          <w:lang w:val="en-US"/>
        </w:rPr>
        <w:t>ing and mitigating</w:t>
      </w:r>
      <w:r w:rsidRPr="00C90053">
        <w:rPr>
          <w:spacing w:val="-2"/>
          <w:sz w:val="22"/>
          <w:szCs w:val="22"/>
          <w:lang w:val="en-US"/>
        </w:rPr>
        <w:t xml:space="preserve"> social risks, assist in preparing tender documents to address these concerns, and review social documentation to provide compliance and improvement recommendations. Additionally, the consultant will ensure adherence to Turkish legislation and international standards, monitor field implementations, and support the preparation of progress reports and grievance redress mechanisms. They will also conduct field visits, audits, and training to comprehensively manage social issues throughout the project.</w:t>
      </w:r>
      <w:r w:rsidR="00115CF9">
        <w:rPr>
          <w:spacing w:val="-2"/>
          <w:sz w:val="22"/>
          <w:szCs w:val="22"/>
          <w:lang w:val="en-US"/>
        </w:rPr>
        <w:t xml:space="preserve"> </w:t>
      </w:r>
      <w:r w:rsidR="0072763A">
        <w:rPr>
          <w:spacing w:val="-2"/>
          <w:sz w:val="22"/>
          <w:szCs w:val="22"/>
          <w:lang w:val="en-US"/>
        </w:rPr>
        <w:t>A possibl</w:t>
      </w:r>
      <w:r w:rsidR="00BB7A37">
        <w:rPr>
          <w:spacing w:val="-2"/>
          <w:sz w:val="22"/>
          <w:szCs w:val="22"/>
          <w:lang w:val="en-US"/>
        </w:rPr>
        <w:t>e candidate is expected to have</w:t>
      </w:r>
      <w:r w:rsidR="0072763A">
        <w:rPr>
          <w:spacing w:val="-2"/>
          <w:sz w:val="22"/>
          <w:szCs w:val="22"/>
          <w:lang w:val="en-US"/>
        </w:rPr>
        <w:t xml:space="preserve"> proficien</w:t>
      </w:r>
      <w:r w:rsidR="00BB7A37">
        <w:rPr>
          <w:spacing w:val="-2"/>
          <w:sz w:val="22"/>
          <w:szCs w:val="22"/>
          <w:lang w:val="en-US"/>
        </w:rPr>
        <w:t>cy in key computer applications.</w:t>
      </w:r>
    </w:p>
    <w:p w14:paraId="37FD8EDC" w14:textId="255B4FDA" w:rsidR="000D0DA6" w:rsidRPr="003A3376" w:rsidRDefault="00496C14" w:rsidP="0035275C">
      <w:pPr>
        <w:spacing w:before="142"/>
        <w:jc w:val="both"/>
        <w:rPr>
          <w:noProof/>
          <w:sz w:val="22"/>
          <w:szCs w:val="22"/>
          <w:lang w:val="en-US"/>
        </w:rPr>
      </w:pPr>
      <w:r w:rsidRPr="00BE5D91">
        <w:rPr>
          <w:spacing w:val="-2"/>
          <w:sz w:val="22"/>
          <w:szCs w:val="22"/>
          <w:lang w:val="en-US"/>
        </w:rPr>
        <w:t xml:space="preserve">Interested applicants </w:t>
      </w:r>
      <w:r w:rsidR="004B4A4B" w:rsidRPr="00BE5D91">
        <w:rPr>
          <w:spacing w:val="-2"/>
          <w:sz w:val="22"/>
          <w:szCs w:val="22"/>
          <w:lang w:val="en-US"/>
        </w:rPr>
        <w:t>shall submit their</w:t>
      </w:r>
      <w:r w:rsidRPr="00BE5D91">
        <w:rPr>
          <w:spacing w:val="-2"/>
          <w:sz w:val="22"/>
          <w:szCs w:val="22"/>
          <w:lang w:val="en-US"/>
        </w:rPr>
        <w:t xml:space="preserve"> Curricul</w:t>
      </w:r>
      <w:r w:rsidR="00597486" w:rsidRPr="00BE5D91">
        <w:rPr>
          <w:spacing w:val="-2"/>
          <w:sz w:val="22"/>
          <w:szCs w:val="22"/>
          <w:lang w:val="en-US"/>
        </w:rPr>
        <w:t>u</w:t>
      </w:r>
      <w:r w:rsidRPr="00BE5D91">
        <w:rPr>
          <w:spacing w:val="-2"/>
          <w:sz w:val="22"/>
          <w:szCs w:val="22"/>
          <w:lang w:val="en-US"/>
        </w:rPr>
        <w:t xml:space="preserve">m Vitae (CV) in English in the format given </w:t>
      </w:r>
      <w:r w:rsidR="00BC58A6" w:rsidRPr="00BE5D91">
        <w:rPr>
          <w:spacing w:val="-2"/>
          <w:sz w:val="22"/>
          <w:szCs w:val="22"/>
          <w:lang w:val="en-US"/>
        </w:rPr>
        <w:t>in the Appendix II below,</w:t>
      </w:r>
      <w:r w:rsidR="004A6167" w:rsidRPr="00BE5D91">
        <w:rPr>
          <w:spacing w:val="-2"/>
          <w:sz w:val="22"/>
          <w:szCs w:val="22"/>
          <w:lang w:val="en-US"/>
        </w:rPr>
        <w:t xml:space="preserve"> before </w:t>
      </w:r>
      <w:r w:rsidR="00007F72" w:rsidRPr="008653A0">
        <w:rPr>
          <w:b/>
          <w:spacing w:val="-2"/>
          <w:sz w:val="22"/>
          <w:szCs w:val="22"/>
          <w:lang w:val="en-US"/>
        </w:rPr>
        <w:t>28.02.2025</w:t>
      </w:r>
      <w:r w:rsidR="00B0346A" w:rsidRPr="008653A0">
        <w:rPr>
          <w:b/>
          <w:spacing w:val="-2"/>
          <w:sz w:val="22"/>
          <w:szCs w:val="22"/>
          <w:lang w:val="en-US"/>
        </w:rPr>
        <w:t>, 17.00</w:t>
      </w:r>
      <w:r w:rsidR="00B0346A" w:rsidRPr="003A3376">
        <w:rPr>
          <w:spacing w:val="-2"/>
          <w:sz w:val="22"/>
          <w:szCs w:val="22"/>
          <w:lang w:val="en-US"/>
        </w:rPr>
        <w:t xml:space="preserve"> (local hour)</w:t>
      </w:r>
      <w:r w:rsidR="004B4A4B" w:rsidRPr="003A3376">
        <w:rPr>
          <w:spacing w:val="-2"/>
          <w:sz w:val="22"/>
          <w:szCs w:val="22"/>
          <w:lang w:val="en-US"/>
        </w:rPr>
        <w:t>.</w:t>
      </w:r>
      <w:r w:rsidR="000D0DA6" w:rsidRPr="003A3376">
        <w:rPr>
          <w:spacing w:val="-2"/>
          <w:sz w:val="22"/>
          <w:szCs w:val="22"/>
          <w:lang w:val="en-US"/>
        </w:rPr>
        <w:t xml:space="preserve"> </w:t>
      </w:r>
      <w:r w:rsidR="000D0DA6" w:rsidRPr="003A3376">
        <w:rPr>
          <w:noProof/>
          <w:sz w:val="22"/>
          <w:szCs w:val="22"/>
          <w:lang w:val="en-US"/>
        </w:rPr>
        <w:t>In their CV, interested applicants must provide information evidencing that they are qualified and exper</w:t>
      </w:r>
      <w:r w:rsidR="0084025C" w:rsidRPr="003A3376">
        <w:rPr>
          <w:noProof/>
          <w:sz w:val="22"/>
          <w:szCs w:val="22"/>
          <w:lang w:val="en-US"/>
        </w:rPr>
        <w:t>ienced to perform the expected S</w:t>
      </w:r>
      <w:r w:rsidR="000D0DA6" w:rsidRPr="003A3376">
        <w:rPr>
          <w:noProof/>
          <w:sz w:val="22"/>
          <w:szCs w:val="22"/>
          <w:lang w:val="en-US"/>
        </w:rPr>
        <w:t xml:space="preserve">ervices; </w:t>
      </w:r>
      <w:r w:rsidR="00660C89" w:rsidRPr="003A3376">
        <w:rPr>
          <w:noProof/>
          <w:sz w:val="22"/>
          <w:szCs w:val="22"/>
          <w:lang w:val="en-US"/>
        </w:rPr>
        <w:t xml:space="preserve">only </w:t>
      </w:r>
      <w:r w:rsidR="000D0DA6" w:rsidRPr="003A3376">
        <w:rPr>
          <w:noProof/>
          <w:sz w:val="22"/>
          <w:szCs w:val="22"/>
          <w:lang w:val="en-US"/>
        </w:rPr>
        <w:t>recent</w:t>
      </w:r>
      <w:r w:rsidR="00660C89" w:rsidRPr="003A3376">
        <w:rPr>
          <w:noProof/>
          <w:sz w:val="22"/>
          <w:szCs w:val="22"/>
          <w:lang w:val="en-US"/>
        </w:rPr>
        <w:t xml:space="preserve"> </w:t>
      </w:r>
      <w:r w:rsidR="000D0DA6" w:rsidRPr="003A3376">
        <w:rPr>
          <w:noProof/>
          <w:sz w:val="22"/>
          <w:szCs w:val="22"/>
          <w:lang w:val="en-US"/>
        </w:rPr>
        <w:t xml:space="preserve">and similar services shall be </w:t>
      </w:r>
      <w:r w:rsidR="00660C89" w:rsidRPr="003A3376">
        <w:rPr>
          <w:noProof/>
          <w:sz w:val="22"/>
          <w:szCs w:val="22"/>
          <w:lang w:val="en-US"/>
        </w:rPr>
        <w:t xml:space="preserve">considered when ranking the </w:t>
      </w:r>
      <w:bookmarkStart w:id="0" w:name="_GoBack"/>
      <w:bookmarkEnd w:id="0"/>
      <w:r w:rsidR="00660C89" w:rsidRPr="003A3376">
        <w:rPr>
          <w:noProof/>
          <w:sz w:val="22"/>
          <w:szCs w:val="22"/>
          <w:lang w:val="en-US"/>
        </w:rPr>
        <w:t>applications</w:t>
      </w:r>
      <w:r w:rsidR="000D0DA6" w:rsidRPr="003A3376">
        <w:rPr>
          <w:noProof/>
          <w:sz w:val="22"/>
          <w:szCs w:val="22"/>
          <w:lang w:val="en-US"/>
        </w:rPr>
        <w:t>.</w:t>
      </w:r>
      <w:r w:rsidR="00660C89" w:rsidRPr="003A3376">
        <w:rPr>
          <w:noProof/>
          <w:sz w:val="22"/>
          <w:szCs w:val="22"/>
          <w:lang w:val="en-US"/>
        </w:rPr>
        <w:t xml:space="preserve"> </w:t>
      </w:r>
      <w:r w:rsidR="000D0DA6" w:rsidRPr="003A3376">
        <w:rPr>
          <w:noProof/>
          <w:sz w:val="22"/>
          <w:szCs w:val="22"/>
          <w:lang w:val="en-US"/>
        </w:rPr>
        <w:t>Determination of the similarity of the experiences will</w:t>
      </w:r>
      <w:r w:rsidR="00B5440D" w:rsidRPr="003A3376">
        <w:rPr>
          <w:noProof/>
          <w:sz w:val="22"/>
          <w:szCs w:val="22"/>
          <w:lang w:val="en-US"/>
        </w:rPr>
        <w:t xml:space="preserve"> </w:t>
      </w:r>
      <w:r w:rsidR="000D0DA6" w:rsidRPr="003A3376">
        <w:rPr>
          <w:noProof/>
          <w:sz w:val="22"/>
          <w:szCs w:val="22"/>
          <w:lang w:val="en-US"/>
        </w:rPr>
        <w:t>be based on:</w:t>
      </w:r>
      <w:r w:rsidR="00660C89" w:rsidRPr="003A3376">
        <w:rPr>
          <w:noProof/>
          <w:sz w:val="22"/>
          <w:szCs w:val="22"/>
          <w:lang w:val="en-US"/>
        </w:rPr>
        <w:t xml:space="preserve"> </w:t>
      </w:r>
      <w:r w:rsidR="009049A9" w:rsidRPr="003A3376">
        <w:rPr>
          <w:noProof/>
          <w:sz w:val="22"/>
          <w:szCs w:val="22"/>
          <w:lang w:val="en-US"/>
        </w:rPr>
        <w:t>(</w:t>
      </w:r>
      <w:r w:rsidR="00660C89" w:rsidRPr="003A3376">
        <w:rPr>
          <w:noProof/>
          <w:sz w:val="22"/>
          <w:szCs w:val="22"/>
          <w:lang w:val="en-US"/>
        </w:rPr>
        <w:t>i) t</w:t>
      </w:r>
      <w:r w:rsidR="000D0DA6" w:rsidRPr="003A3376">
        <w:rPr>
          <w:noProof/>
          <w:sz w:val="22"/>
          <w:szCs w:val="22"/>
          <w:lang w:val="en-US"/>
        </w:rPr>
        <w:t xml:space="preserve">he nature of the services performed; </w:t>
      </w:r>
      <w:r w:rsidR="00B5440D" w:rsidRPr="003A3376">
        <w:rPr>
          <w:noProof/>
          <w:sz w:val="22"/>
          <w:szCs w:val="22"/>
          <w:lang w:val="en-US"/>
        </w:rPr>
        <w:t>(ii</w:t>
      </w:r>
      <w:r w:rsidR="00660C89" w:rsidRPr="003A3376">
        <w:rPr>
          <w:noProof/>
          <w:sz w:val="22"/>
          <w:szCs w:val="22"/>
          <w:lang w:val="en-US"/>
        </w:rPr>
        <w:t>) t</w:t>
      </w:r>
      <w:r w:rsidR="000D0DA6" w:rsidRPr="003A3376">
        <w:rPr>
          <w:noProof/>
          <w:sz w:val="22"/>
          <w:szCs w:val="22"/>
          <w:lang w:val="en-US"/>
        </w:rPr>
        <w:t xml:space="preserve">he technical area </w:t>
      </w:r>
      <w:r w:rsidR="00660C89" w:rsidRPr="003A3376">
        <w:rPr>
          <w:noProof/>
          <w:sz w:val="22"/>
          <w:szCs w:val="22"/>
          <w:lang w:val="en-US"/>
        </w:rPr>
        <w:t>of</w:t>
      </w:r>
      <w:r w:rsidR="000D0DA6" w:rsidRPr="003A3376">
        <w:rPr>
          <w:noProof/>
          <w:sz w:val="22"/>
          <w:szCs w:val="22"/>
          <w:lang w:val="en-US"/>
        </w:rPr>
        <w:t xml:space="preserve"> expertise;</w:t>
      </w:r>
      <w:r w:rsidR="00B5440D" w:rsidRPr="003A3376">
        <w:rPr>
          <w:noProof/>
          <w:sz w:val="22"/>
          <w:szCs w:val="22"/>
          <w:lang w:val="en-US"/>
        </w:rPr>
        <w:t xml:space="preserve"> (iii</w:t>
      </w:r>
      <w:r w:rsidR="009049A9" w:rsidRPr="003A3376">
        <w:rPr>
          <w:noProof/>
          <w:sz w:val="22"/>
          <w:szCs w:val="22"/>
          <w:lang w:val="en-US"/>
        </w:rPr>
        <w:t>) the application of international donors’ procedures; (</w:t>
      </w:r>
      <w:r w:rsidR="00B5440D" w:rsidRPr="003A3376">
        <w:rPr>
          <w:noProof/>
          <w:sz w:val="22"/>
          <w:szCs w:val="22"/>
          <w:lang w:val="en-US"/>
        </w:rPr>
        <w:t>i</w:t>
      </w:r>
      <w:r w:rsidR="00660C89" w:rsidRPr="003A3376">
        <w:rPr>
          <w:noProof/>
          <w:sz w:val="22"/>
          <w:szCs w:val="22"/>
          <w:lang w:val="en-US"/>
        </w:rPr>
        <w:t>v) t</w:t>
      </w:r>
      <w:r w:rsidR="000D0DA6" w:rsidRPr="003A3376">
        <w:rPr>
          <w:noProof/>
          <w:sz w:val="22"/>
          <w:szCs w:val="22"/>
          <w:lang w:val="en-US"/>
        </w:rPr>
        <w:t>he location</w:t>
      </w:r>
      <w:r w:rsidR="00B5440D" w:rsidRPr="003A3376">
        <w:rPr>
          <w:noProof/>
          <w:sz w:val="22"/>
          <w:szCs w:val="22"/>
          <w:lang w:val="en-US"/>
        </w:rPr>
        <w:t xml:space="preserve"> and, when applicable, (v) the sector</w:t>
      </w:r>
      <w:r w:rsidR="000D0DA6" w:rsidRPr="003A3376">
        <w:rPr>
          <w:noProof/>
          <w:sz w:val="22"/>
          <w:szCs w:val="22"/>
          <w:lang w:val="en-US"/>
        </w:rPr>
        <w:t>.</w:t>
      </w:r>
    </w:p>
    <w:p w14:paraId="155E4D3D" w14:textId="77777777" w:rsidR="00496C14" w:rsidRPr="00763E85" w:rsidRDefault="00BC58A6" w:rsidP="00496C14">
      <w:pPr>
        <w:suppressAutoHyphens/>
        <w:spacing w:before="120" w:after="120"/>
        <w:jc w:val="both"/>
        <w:rPr>
          <w:b/>
          <w:color w:val="000000" w:themeColor="text1"/>
          <w:spacing w:val="-2"/>
          <w:sz w:val="22"/>
          <w:szCs w:val="22"/>
          <w:lang w:val="en-US"/>
        </w:rPr>
      </w:pPr>
      <w:r w:rsidRPr="00763E85">
        <w:rPr>
          <w:b/>
          <w:color w:val="000000" w:themeColor="text1"/>
          <w:spacing w:val="-2"/>
          <w:sz w:val="22"/>
          <w:szCs w:val="22"/>
          <w:lang w:val="en-US"/>
        </w:rPr>
        <w:t xml:space="preserve">Furthermore, the applicants are expected to </w:t>
      </w:r>
      <w:r w:rsidR="000A3DE9" w:rsidRPr="00763E85">
        <w:rPr>
          <w:b/>
          <w:color w:val="000000" w:themeColor="text1"/>
          <w:spacing w:val="-2"/>
          <w:sz w:val="22"/>
          <w:szCs w:val="22"/>
          <w:lang w:val="en-US"/>
        </w:rPr>
        <w:t>fulfill</w:t>
      </w:r>
      <w:r w:rsidRPr="00763E85">
        <w:rPr>
          <w:b/>
          <w:color w:val="000000" w:themeColor="text1"/>
          <w:spacing w:val="-2"/>
          <w:sz w:val="22"/>
          <w:szCs w:val="22"/>
          <w:lang w:val="en-US"/>
        </w:rPr>
        <w:t xml:space="preserve"> all </w:t>
      </w:r>
      <w:r w:rsidR="00496C14" w:rsidRPr="00763E85">
        <w:rPr>
          <w:b/>
          <w:color w:val="000000" w:themeColor="text1"/>
          <w:spacing w:val="-2"/>
          <w:sz w:val="22"/>
          <w:szCs w:val="22"/>
          <w:lang w:val="en-US"/>
        </w:rPr>
        <w:t xml:space="preserve">shortlisting criteria </w:t>
      </w:r>
      <w:r w:rsidRPr="00763E85">
        <w:rPr>
          <w:b/>
          <w:color w:val="000000" w:themeColor="text1"/>
          <w:spacing w:val="-2"/>
          <w:sz w:val="22"/>
          <w:szCs w:val="22"/>
          <w:lang w:val="en-US"/>
        </w:rPr>
        <w:t>detailed below</w:t>
      </w:r>
      <w:r w:rsidR="00496C14" w:rsidRPr="00763E85">
        <w:rPr>
          <w:b/>
          <w:color w:val="000000" w:themeColor="text1"/>
          <w:spacing w:val="-2"/>
          <w:sz w:val="22"/>
          <w:szCs w:val="22"/>
          <w:lang w:val="en-US"/>
        </w:rPr>
        <w:t>:</w:t>
      </w:r>
    </w:p>
    <w:p w14:paraId="5DC5E34B" w14:textId="5D8BCD8F" w:rsidR="001102E1" w:rsidRPr="00EC3FD4" w:rsidRDefault="001102E1" w:rsidP="0072763A">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sidRPr="00EC3FD4">
        <w:rPr>
          <w:color w:val="000000" w:themeColor="text1"/>
          <w:spacing w:val="-2"/>
          <w:sz w:val="22"/>
          <w:szCs w:val="22"/>
          <w:lang w:val="en-US"/>
        </w:rPr>
        <w:t xml:space="preserve">At least bachelor's degree in </w:t>
      </w:r>
      <w:r w:rsidR="00EC3FD4">
        <w:rPr>
          <w:color w:val="000000" w:themeColor="text1"/>
          <w:spacing w:val="-2"/>
          <w:sz w:val="22"/>
          <w:szCs w:val="22"/>
          <w:lang w:val="en-US"/>
        </w:rPr>
        <w:t>S</w:t>
      </w:r>
      <w:r w:rsidR="009A1502">
        <w:rPr>
          <w:color w:val="000000" w:themeColor="text1"/>
          <w:spacing w:val="-2"/>
          <w:sz w:val="22"/>
          <w:szCs w:val="22"/>
          <w:lang w:val="en-US"/>
        </w:rPr>
        <w:t>oc</w:t>
      </w:r>
      <w:r w:rsidR="00A5126E">
        <w:rPr>
          <w:color w:val="000000" w:themeColor="text1"/>
          <w:spacing w:val="-2"/>
          <w:sz w:val="22"/>
          <w:szCs w:val="22"/>
          <w:lang w:val="en-US"/>
        </w:rPr>
        <w:t>iology, Anthropology</w:t>
      </w:r>
      <w:r w:rsidR="00A353CE">
        <w:rPr>
          <w:color w:val="000000" w:themeColor="text1"/>
          <w:spacing w:val="-2"/>
          <w:sz w:val="22"/>
          <w:szCs w:val="22"/>
          <w:lang w:val="en-US"/>
        </w:rPr>
        <w:t xml:space="preserve"> (</w:t>
      </w:r>
      <w:r w:rsidR="0072763A">
        <w:rPr>
          <w:color w:val="000000" w:themeColor="text1"/>
          <w:spacing w:val="-2"/>
          <w:sz w:val="22"/>
          <w:szCs w:val="22"/>
          <w:lang w:val="en-US"/>
        </w:rPr>
        <w:t>i</w:t>
      </w:r>
      <w:r w:rsidR="0072763A" w:rsidRPr="0072763A">
        <w:rPr>
          <w:color w:val="000000" w:themeColor="text1"/>
          <w:spacing w:val="-2"/>
          <w:sz w:val="22"/>
          <w:szCs w:val="22"/>
          <w:lang w:val="en-US"/>
        </w:rPr>
        <w:t>f the bachelor's degree is not related with the specified fields,</w:t>
      </w:r>
      <w:r w:rsidR="0072763A">
        <w:rPr>
          <w:color w:val="000000" w:themeColor="text1"/>
          <w:spacing w:val="-2"/>
          <w:sz w:val="22"/>
          <w:szCs w:val="22"/>
          <w:lang w:val="en-US"/>
        </w:rPr>
        <w:t xml:space="preserve"> four (4)</w:t>
      </w:r>
      <w:r w:rsidR="0072763A" w:rsidRPr="0072763A">
        <w:rPr>
          <w:color w:val="000000" w:themeColor="text1"/>
          <w:spacing w:val="-2"/>
          <w:sz w:val="22"/>
          <w:szCs w:val="22"/>
          <w:lang w:val="en-US"/>
        </w:rPr>
        <w:t xml:space="preserve"> years of specific professional experience in </w:t>
      </w:r>
      <w:r w:rsidR="007C393E" w:rsidRPr="00763E85">
        <w:rPr>
          <w:color w:val="000000" w:themeColor="text1"/>
          <w:spacing w:val="-2"/>
          <w:sz w:val="22"/>
          <w:szCs w:val="22"/>
          <w:lang w:val="en-US"/>
        </w:rPr>
        <w:t>the management of</w:t>
      </w:r>
      <w:r w:rsidR="007C393E">
        <w:rPr>
          <w:color w:val="000000" w:themeColor="text1"/>
          <w:spacing w:val="-2"/>
          <w:sz w:val="22"/>
          <w:szCs w:val="22"/>
          <w:lang w:val="en-US"/>
        </w:rPr>
        <w:t>;</w:t>
      </w:r>
      <w:r w:rsidR="007C393E" w:rsidRPr="00763E85">
        <w:rPr>
          <w:color w:val="000000" w:themeColor="text1"/>
          <w:spacing w:val="-2"/>
          <w:sz w:val="22"/>
          <w:szCs w:val="22"/>
          <w:lang w:val="en-US"/>
        </w:rPr>
        <w:t xml:space="preserve"> Environmental and Social Impact Assessments (ESIAs)</w:t>
      </w:r>
      <w:r w:rsidR="00901ECE">
        <w:rPr>
          <w:color w:val="000000" w:themeColor="text1"/>
          <w:spacing w:val="-2"/>
          <w:sz w:val="22"/>
          <w:szCs w:val="22"/>
          <w:lang w:val="en-US"/>
        </w:rPr>
        <w:t xml:space="preserve"> and/or</w:t>
      </w:r>
      <w:r w:rsidR="007C393E" w:rsidRPr="00763E85">
        <w:rPr>
          <w:color w:val="000000" w:themeColor="text1"/>
          <w:spacing w:val="-2"/>
          <w:sz w:val="22"/>
          <w:szCs w:val="22"/>
          <w:lang w:val="en-US"/>
        </w:rPr>
        <w:t xml:space="preserve"> Environmental and Social Management Plans (ESMPs) and/or social baseline data collection, land acquisition, stakeholder </w:t>
      </w:r>
      <w:r w:rsidR="007C393E" w:rsidRPr="00763E85">
        <w:rPr>
          <w:color w:val="000000" w:themeColor="text1"/>
          <w:spacing w:val="-2"/>
          <w:sz w:val="22"/>
          <w:szCs w:val="22"/>
          <w:lang w:val="en-US"/>
        </w:rPr>
        <w:lastRenderedPageBreak/>
        <w:t>engagement, labor management, resettlement,</w:t>
      </w:r>
      <w:r w:rsidR="007C393E">
        <w:rPr>
          <w:color w:val="000000" w:themeColor="text1"/>
          <w:spacing w:val="-2"/>
          <w:sz w:val="22"/>
          <w:szCs w:val="22"/>
          <w:lang w:val="en-US"/>
        </w:rPr>
        <w:t xml:space="preserve"> grievance mechanism,</w:t>
      </w:r>
      <w:r w:rsidR="007C393E" w:rsidRPr="00763E85">
        <w:rPr>
          <w:color w:val="000000" w:themeColor="text1"/>
          <w:spacing w:val="-2"/>
          <w:sz w:val="22"/>
          <w:szCs w:val="22"/>
          <w:lang w:val="en-US"/>
        </w:rPr>
        <w:t xml:space="preserve"> public consultation and disclosure</w:t>
      </w:r>
      <w:r w:rsidR="007C393E">
        <w:rPr>
          <w:color w:val="000000" w:themeColor="text1"/>
          <w:spacing w:val="-2"/>
          <w:sz w:val="22"/>
          <w:szCs w:val="22"/>
          <w:lang w:val="en-US"/>
        </w:rPr>
        <w:t>, is required)</w:t>
      </w:r>
      <w:r w:rsidR="00D512FE">
        <w:rPr>
          <w:color w:val="000000" w:themeColor="text1"/>
          <w:spacing w:val="-2"/>
          <w:sz w:val="22"/>
          <w:szCs w:val="22"/>
          <w:lang w:val="en-US"/>
        </w:rPr>
        <w:t>,</w:t>
      </w:r>
    </w:p>
    <w:p w14:paraId="0BAD8EB0" w14:textId="08657DF8" w:rsidR="00703CC9" w:rsidRPr="00763E85" w:rsidRDefault="00462589" w:rsidP="004944E4">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sidRPr="00763E85">
        <w:rPr>
          <w:color w:val="000000" w:themeColor="text1"/>
          <w:spacing w:val="-2"/>
          <w:sz w:val="22"/>
          <w:szCs w:val="22"/>
          <w:lang w:val="en-US"/>
        </w:rPr>
        <w:t>At least</w:t>
      </w:r>
      <w:r w:rsidR="004C53B6" w:rsidRPr="00763E85">
        <w:rPr>
          <w:color w:val="000000" w:themeColor="text1"/>
          <w:spacing w:val="-2"/>
          <w:sz w:val="22"/>
          <w:szCs w:val="22"/>
          <w:lang w:val="en-US"/>
        </w:rPr>
        <w:t xml:space="preserve"> </w:t>
      </w:r>
      <w:r w:rsidR="00A5126E">
        <w:rPr>
          <w:color w:val="000000" w:themeColor="text1"/>
          <w:spacing w:val="-2"/>
          <w:sz w:val="22"/>
          <w:szCs w:val="22"/>
          <w:lang w:val="en-US"/>
        </w:rPr>
        <w:t>five</w:t>
      </w:r>
      <w:r w:rsidR="00A5126E" w:rsidRPr="00763E85">
        <w:rPr>
          <w:color w:val="000000" w:themeColor="text1"/>
          <w:spacing w:val="-2"/>
          <w:sz w:val="22"/>
          <w:szCs w:val="22"/>
          <w:lang w:val="en-US"/>
        </w:rPr>
        <w:t xml:space="preserve"> </w:t>
      </w:r>
      <w:r w:rsidR="004C53B6" w:rsidRPr="00763E85">
        <w:rPr>
          <w:color w:val="000000" w:themeColor="text1"/>
          <w:spacing w:val="-2"/>
          <w:sz w:val="22"/>
          <w:szCs w:val="22"/>
          <w:lang w:val="en-US"/>
        </w:rPr>
        <w:t>(</w:t>
      </w:r>
      <w:r w:rsidR="00A5126E">
        <w:rPr>
          <w:color w:val="000000" w:themeColor="text1"/>
          <w:spacing w:val="-2"/>
          <w:sz w:val="22"/>
          <w:szCs w:val="22"/>
          <w:lang w:val="en-US"/>
        </w:rPr>
        <w:t>5</w:t>
      </w:r>
      <w:r w:rsidR="00703CC9" w:rsidRPr="00763E85">
        <w:rPr>
          <w:color w:val="000000" w:themeColor="text1"/>
          <w:spacing w:val="-2"/>
          <w:sz w:val="22"/>
          <w:szCs w:val="22"/>
          <w:lang w:val="en-US"/>
        </w:rPr>
        <w:t>) years of general work experience,</w:t>
      </w:r>
    </w:p>
    <w:p w14:paraId="059CA947" w14:textId="1DC13D91" w:rsidR="00EB7E0B" w:rsidRPr="00763E85" w:rsidRDefault="00703CC9" w:rsidP="00CF3598">
      <w:pPr>
        <w:pStyle w:val="ListeParagraf"/>
        <w:numPr>
          <w:ilvl w:val="0"/>
          <w:numId w:val="1"/>
        </w:numPr>
        <w:suppressAutoHyphens/>
        <w:spacing w:before="0" w:beforeAutospacing="0" w:after="0" w:afterAutospacing="0" w:line="276" w:lineRule="auto"/>
        <w:jc w:val="both"/>
        <w:rPr>
          <w:color w:val="000000" w:themeColor="text1"/>
          <w:spacing w:val="-2"/>
          <w:sz w:val="22"/>
          <w:szCs w:val="22"/>
          <w:lang w:val="en-US"/>
        </w:rPr>
      </w:pPr>
      <w:r w:rsidRPr="00763E85">
        <w:rPr>
          <w:color w:val="000000" w:themeColor="text1"/>
          <w:spacing w:val="-2"/>
          <w:sz w:val="22"/>
          <w:szCs w:val="22"/>
          <w:lang w:val="en-US"/>
        </w:rPr>
        <w:t xml:space="preserve">At least </w:t>
      </w:r>
      <w:r w:rsidR="00101A3C">
        <w:rPr>
          <w:color w:val="000000" w:themeColor="text1"/>
          <w:spacing w:val="-2"/>
          <w:sz w:val="22"/>
          <w:szCs w:val="22"/>
          <w:lang w:val="en-US"/>
        </w:rPr>
        <w:t>two</w:t>
      </w:r>
      <w:r w:rsidR="00101A3C" w:rsidRPr="00763E85">
        <w:rPr>
          <w:color w:val="000000" w:themeColor="text1"/>
          <w:spacing w:val="-2"/>
          <w:sz w:val="22"/>
          <w:szCs w:val="22"/>
          <w:lang w:val="en-US"/>
        </w:rPr>
        <w:t xml:space="preserve"> </w:t>
      </w:r>
      <w:r w:rsidR="00A77FB7" w:rsidRPr="00763E85">
        <w:rPr>
          <w:color w:val="000000" w:themeColor="text1"/>
          <w:spacing w:val="-2"/>
          <w:sz w:val="22"/>
          <w:szCs w:val="22"/>
          <w:lang w:val="en-US"/>
        </w:rPr>
        <w:t>(</w:t>
      </w:r>
      <w:r w:rsidR="00750155" w:rsidRPr="00763E85">
        <w:rPr>
          <w:color w:val="000000" w:themeColor="text1"/>
          <w:spacing w:val="-2"/>
          <w:sz w:val="22"/>
          <w:szCs w:val="22"/>
          <w:lang w:val="en-US"/>
        </w:rPr>
        <w:t>2</w:t>
      </w:r>
      <w:r w:rsidR="00A77FB7" w:rsidRPr="00763E85">
        <w:rPr>
          <w:color w:val="000000" w:themeColor="text1"/>
          <w:spacing w:val="-2"/>
          <w:sz w:val="22"/>
          <w:szCs w:val="22"/>
          <w:lang w:val="en-US"/>
        </w:rPr>
        <w:t>)</w:t>
      </w:r>
      <w:r w:rsidR="00660C89" w:rsidRPr="00763E85">
        <w:rPr>
          <w:color w:val="000000" w:themeColor="text1"/>
          <w:spacing w:val="-2"/>
          <w:sz w:val="22"/>
          <w:szCs w:val="22"/>
          <w:lang w:val="en-US"/>
        </w:rPr>
        <w:t xml:space="preserve"> </w:t>
      </w:r>
      <w:r w:rsidR="001102E1" w:rsidRPr="00763E85">
        <w:rPr>
          <w:color w:val="000000" w:themeColor="text1"/>
          <w:spacing w:val="-2"/>
          <w:sz w:val="22"/>
          <w:szCs w:val="22"/>
          <w:lang w:val="en-US"/>
        </w:rPr>
        <w:t>years</w:t>
      </w:r>
      <w:r w:rsidR="00462589" w:rsidRPr="00763E85">
        <w:rPr>
          <w:color w:val="000000" w:themeColor="text1"/>
          <w:spacing w:val="-2"/>
          <w:sz w:val="22"/>
          <w:szCs w:val="22"/>
          <w:lang w:val="en-US"/>
        </w:rPr>
        <w:t xml:space="preserve"> of</w:t>
      </w:r>
      <w:r w:rsidR="001102E1" w:rsidRPr="00763E85">
        <w:rPr>
          <w:color w:val="000000" w:themeColor="text1"/>
          <w:spacing w:val="-2"/>
          <w:sz w:val="22"/>
          <w:szCs w:val="22"/>
          <w:lang w:val="en-US"/>
        </w:rPr>
        <w:t xml:space="preserve"> </w:t>
      </w:r>
      <w:r w:rsidR="00BE5D91" w:rsidRPr="00763E85">
        <w:rPr>
          <w:color w:val="000000" w:themeColor="text1"/>
          <w:spacing w:val="-2"/>
          <w:sz w:val="22"/>
          <w:szCs w:val="22"/>
          <w:lang w:val="en-US"/>
        </w:rPr>
        <w:t xml:space="preserve">specific </w:t>
      </w:r>
      <w:r w:rsidR="001102E1" w:rsidRPr="00763E85">
        <w:rPr>
          <w:color w:val="000000" w:themeColor="text1"/>
          <w:spacing w:val="-2"/>
          <w:sz w:val="22"/>
          <w:szCs w:val="22"/>
          <w:lang w:val="en-US"/>
        </w:rPr>
        <w:t xml:space="preserve">work experience in </w:t>
      </w:r>
      <w:r w:rsidR="00D534CF" w:rsidRPr="00763E85">
        <w:rPr>
          <w:color w:val="000000" w:themeColor="text1"/>
          <w:spacing w:val="-2"/>
          <w:sz w:val="22"/>
          <w:szCs w:val="22"/>
          <w:lang w:val="en-US"/>
        </w:rPr>
        <w:t>the management of</w:t>
      </w:r>
      <w:r w:rsidR="00092ABA">
        <w:rPr>
          <w:color w:val="000000" w:themeColor="text1"/>
          <w:spacing w:val="-2"/>
          <w:sz w:val="22"/>
          <w:szCs w:val="22"/>
          <w:lang w:val="en-US"/>
        </w:rPr>
        <w:t>;</w:t>
      </w:r>
      <w:r w:rsidR="00D534CF" w:rsidRPr="00763E85">
        <w:rPr>
          <w:color w:val="000000" w:themeColor="text1"/>
          <w:spacing w:val="-2"/>
          <w:sz w:val="22"/>
          <w:szCs w:val="22"/>
          <w:lang w:val="en-US"/>
        </w:rPr>
        <w:t xml:space="preserve"> </w:t>
      </w:r>
      <w:r w:rsidR="000E29D8" w:rsidRPr="00763E85">
        <w:rPr>
          <w:color w:val="000000" w:themeColor="text1"/>
          <w:spacing w:val="-2"/>
          <w:sz w:val="22"/>
          <w:szCs w:val="22"/>
          <w:lang w:val="en-US"/>
        </w:rPr>
        <w:t>Environmental and Social Impact Assessments (</w:t>
      </w:r>
      <w:r w:rsidR="00D534CF" w:rsidRPr="00763E85">
        <w:rPr>
          <w:color w:val="000000" w:themeColor="text1"/>
          <w:spacing w:val="-2"/>
          <w:sz w:val="22"/>
          <w:szCs w:val="22"/>
          <w:lang w:val="en-US"/>
        </w:rPr>
        <w:t>ESIAs</w:t>
      </w:r>
      <w:r w:rsidR="00471AB5" w:rsidRPr="00763E85">
        <w:rPr>
          <w:color w:val="000000" w:themeColor="text1"/>
          <w:spacing w:val="-2"/>
          <w:sz w:val="22"/>
          <w:szCs w:val="22"/>
          <w:lang w:val="en-US"/>
        </w:rPr>
        <w:t>)</w:t>
      </w:r>
      <w:r w:rsidR="00471AB5">
        <w:rPr>
          <w:color w:val="000000" w:themeColor="text1"/>
          <w:spacing w:val="-2"/>
          <w:sz w:val="22"/>
          <w:szCs w:val="22"/>
          <w:lang w:val="en-US"/>
        </w:rPr>
        <w:t xml:space="preserve"> and/or</w:t>
      </w:r>
      <w:r w:rsidR="00471AB5" w:rsidRPr="00763E85">
        <w:rPr>
          <w:color w:val="000000" w:themeColor="text1"/>
          <w:spacing w:val="-2"/>
          <w:sz w:val="22"/>
          <w:szCs w:val="22"/>
          <w:lang w:val="en-US"/>
        </w:rPr>
        <w:t xml:space="preserve"> </w:t>
      </w:r>
      <w:r w:rsidR="00A533C9" w:rsidRPr="00763E85">
        <w:rPr>
          <w:color w:val="000000" w:themeColor="text1"/>
          <w:spacing w:val="-2"/>
          <w:sz w:val="22"/>
          <w:szCs w:val="22"/>
          <w:lang w:val="en-US"/>
        </w:rPr>
        <w:t>Environmental and Social Management Plans (ESMPs)</w:t>
      </w:r>
      <w:r w:rsidR="00D534CF" w:rsidRPr="00763E85">
        <w:rPr>
          <w:color w:val="000000" w:themeColor="text1"/>
          <w:spacing w:val="-2"/>
          <w:sz w:val="22"/>
          <w:szCs w:val="22"/>
          <w:lang w:val="en-US"/>
        </w:rPr>
        <w:t xml:space="preserve"> and/or social baseline data collection, </w:t>
      </w:r>
      <w:r w:rsidR="00E438DD" w:rsidRPr="00763E85">
        <w:rPr>
          <w:color w:val="000000" w:themeColor="text1"/>
          <w:spacing w:val="-2"/>
          <w:sz w:val="22"/>
          <w:szCs w:val="22"/>
          <w:lang w:val="en-US"/>
        </w:rPr>
        <w:t xml:space="preserve">land acquisition, </w:t>
      </w:r>
      <w:r w:rsidR="00D534CF" w:rsidRPr="00763E85">
        <w:rPr>
          <w:color w:val="000000" w:themeColor="text1"/>
          <w:spacing w:val="-2"/>
          <w:sz w:val="22"/>
          <w:szCs w:val="22"/>
          <w:lang w:val="en-US"/>
        </w:rPr>
        <w:t>stakeholder engagement,</w:t>
      </w:r>
      <w:r w:rsidR="00750155" w:rsidRPr="00763E85">
        <w:rPr>
          <w:color w:val="000000" w:themeColor="text1"/>
          <w:spacing w:val="-2"/>
          <w:sz w:val="22"/>
          <w:szCs w:val="22"/>
          <w:lang w:val="en-US"/>
        </w:rPr>
        <w:t xml:space="preserve"> labor management, resettlement,</w:t>
      </w:r>
      <w:r w:rsidR="00A5126E">
        <w:rPr>
          <w:color w:val="000000" w:themeColor="text1"/>
          <w:spacing w:val="-2"/>
          <w:sz w:val="22"/>
          <w:szCs w:val="22"/>
          <w:lang w:val="en-US"/>
        </w:rPr>
        <w:t xml:space="preserve"> grievance mechanism,</w:t>
      </w:r>
      <w:r w:rsidR="00D534CF" w:rsidRPr="00763E85">
        <w:rPr>
          <w:color w:val="000000" w:themeColor="text1"/>
          <w:spacing w:val="-2"/>
          <w:sz w:val="22"/>
          <w:szCs w:val="22"/>
          <w:lang w:val="en-US"/>
        </w:rPr>
        <w:t xml:space="preserve"> public consultation and disclosure</w:t>
      </w:r>
      <w:r w:rsidR="00440F0F">
        <w:rPr>
          <w:color w:val="000000" w:themeColor="text1"/>
          <w:spacing w:val="-2"/>
          <w:sz w:val="22"/>
          <w:szCs w:val="22"/>
          <w:lang w:val="en-US"/>
        </w:rPr>
        <w:t>,</w:t>
      </w:r>
    </w:p>
    <w:p w14:paraId="49216150" w14:textId="0EDFC9A4" w:rsidR="005D1277" w:rsidRPr="00CD5F25" w:rsidRDefault="005D1277" w:rsidP="00750155">
      <w:pPr>
        <w:pStyle w:val="ListeParagraf"/>
        <w:numPr>
          <w:ilvl w:val="0"/>
          <w:numId w:val="1"/>
        </w:numPr>
        <w:suppressAutoHyphens/>
        <w:jc w:val="both"/>
        <w:rPr>
          <w:color w:val="000000" w:themeColor="text1"/>
          <w:spacing w:val="-2"/>
          <w:sz w:val="22"/>
          <w:szCs w:val="22"/>
          <w:lang w:val="en-US"/>
        </w:rPr>
      </w:pPr>
      <w:r w:rsidRPr="00763E85">
        <w:rPr>
          <w:color w:val="000000" w:themeColor="text1"/>
          <w:spacing w:val="-2"/>
          <w:sz w:val="22"/>
          <w:szCs w:val="22"/>
          <w:lang w:val="en-US"/>
        </w:rPr>
        <w:t xml:space="preserve">Having worked </w:t>
      </w:r>
      <w:r w:rsidR="00440F0F">
        <w:rPr>
          <w:color w:val="000000" w:themeColor="text1"/>
          <w:spacing w:val="-2"/>
          <w:sz w:val="22"/>
          <w:szCs w:val="22"/>
          <w:lang w:val="en-US"/>
        </w:rPr>
        <w:t xml:space="preserve">in positions regarding the </w:t>
      </w:r>
      <w:r w:rsidR="00F43422">
        <w:rPr>
          <w:color w:val="000000" w:themeColor="text1"/>
          <w:spacing w:val="-2"/>
          <w:sz w:val="22"/>
          <w:szCs w:val="22"/>
          <w:lang w:val="en-US"/>
        </w:rPr>
        <w:t>social issues of the</w:t>
      </w:r>
      <w:r w:rsidRPr="00763E85">
        <w:rPr>
          <w:color w:val="000000" w:themeColor="text1"/>
          <w:spacing w:val="-2"/>
          <w:sz w:val="22"/>
          <w:szCs w:val="22"/>
          <w:lang w:val="en-US"/>
        </w:rPr>
        <w:t xml:space="preserve"> projects financed by international financial and development </w:t>
      </w:r>
      <w:r w:rsidR="00D01D26" w:rsidRPr="00763E85">
        <w:rPr>
          <w:color w:val="000000" w:themeColor="text1"/>
          <w:spacing w:val="-2"/>
          <w:sz w:val="22"/>
          <w:szCs w:val="22"/>
          <w:lang w:val="en-US"/>
        </w:rPr>
        <w:t>organizations</w:t>
      </w:r>
      <w:r w:rsidRPr="00763E85">
        <w:rPr>
          <w:color w:val="000000" w:themeColor="text1"/>
          <w:spacing w:val="-2"/>
          <w:sz w:val="22"/>
          <w:szCs w:val="22"/>
          <w:lang w:val="en-US"/>
        </w:rPr>
        <w:t xml:space="preserve"> such as; World Bank/IFC, the European Union, AFD, the United</w:t>
      </w:r>
      <w:r w:rsidR="00BB7A37">
        <w:rPr>
          <w:color w:val="000000" w:themeColor="text1"/>
          <w:spacing w:val="-2"/>
          <w:sz w:val="22"/>
          <w:szCs w:val="22"/>
          <w:lang w:val="en-US"/>
        </w:rPr>
        <w:t xml:space="preserve"> Nations, EBRD, JICA, KfW, etc.</w:t>
      </w:r>
    </w:p>
    <w:p w14:paraId="3A475259" w14:textId="5E66D03F" w:rsidR="00BB7A37" w:rsidRPr="00CD5F25" w:rsidRDefault="00BB7A37" w:rsidP="00750155">
      <w:pPr>
        <w:pStyle w:val="ListeParagraf"/>
        <w:numPr>
          <w:ilvl w:val="0"/>
          <w:numId w:val="1"/>
        </w:numPr>
        <w:suppressAutoHyphens/>
        <w:jc w:val="both"/>
        <w:rPr>
          <w:color w:val="000000" w:themeColor="text1"/>
          <w:spacing w:val="-2"/>
          <w:sz w:val="22"/>
          <w:szCs w:val="22"/>
          <w:lang w:val="en-US"/>
        </w:rPr>
      </w:pPr>
      <w:r w:rsidRPr="00CD5F25">
        <w:rPr>
          <w:color w:val="000000" w:themeColor="text1"/>
          <w:spacing w:val="-2"/>
          <w:sz w:val="22"/>
          <w:szCs w:val="22"/>
          <w:lang w:val="en-US"/>
        </w:rPr>
        <w:t>Fluency in written and oral English and Turkish.</w:t>
      </w:r>
    </w:p>
    <w:p w14:paraId="08A0DEA6" w14:textId="77777777" w:rsidR="000D0DA6" w:rsidRPr="003A3376" w:rsidRDefault="000D0DA6" w:rsidP="000D0DA6">
      <w:pPr>
        <w:spacing w:before="142"/>
        <w:jc w:val="both"/>
        <w:rPr>
          <w:spacing w:val="-2"/>
          <w:sz w:val="22"/>
          <w:szCs w:val="22"/>
          <w:lang w:val="en-US"/>
        </w:rPr>
      </w:pPr>
      <w:r w:rsidRPr="003A3376">
        <w:rPr>
          <w:spacing w:val="-2"/>
          <w:sz w:val="22"/>
          <w:szCs w:val="22"/>
          <w:lang w:val="en-US"/>
        </w:rPr>
        <w:t>Eligibility criteria to AFD financing are specified in sub-clause 1.3 of the "Procurement Guidelines for AFD</w:t>
      </w:r>
      <w:r w:rsidRPr="003A3376">
        <w:rPr>
          <w:spacing w:val="-2"/>
          <w:sz w:val="22"/>
          <w:szCs w:val="22"/>
          <w:lang w:val="en-US"/>
        </w:rPr>
        <w:noBreakHyphen/>
        <w:t xml:space="preserve">Financed Contracts in Foreign Countries", available online on AFD’s website: </w:t>
      </w:r>
      <w:hyperlink r:id="rId8" w:history="1">
        <w:r w:rsidRPr="003A3376">
          <w:rPr>
            <w:spacing w:val="-2"/>
            <w:sz w:val="22"/>
            <w:szCs w:val="22"/>
            <w:lang w:val="en-US"/>
          </w:rPr>
          <w:t>http://www.afd.fr</w:t>
        </w:r>
      </w:hyperlink>
      <w:r w:rsidR="00BC58A6" w:rsidRPr="003A3376">
        <w:rPr>
          <w:spacing w:val="-2"/>
          <w:sz w:val="22"/>
          <w:szCs w:val="22"/>
          <w:lang w:val="en-US"/>
        </w:rPr>
        <w:t xml:space="preserve"> </w:t>
      </w:r>
    </w:p>
    <w:p w14:paraId="1E8A2939" w14:textId="1E093510" w:rsidR="00496C14" w:rsidRPr="003A3376" w:rsidRDefault="00496C14" w:rsidP="00496C14">
      <w:pPr>
        <w:suppressAutoHyphens/>
        <w:spacing w:before="120" w:after="120"/>
        <w:jc w:val="both"/>
        <w:rPr>
          <w:spacing w:val="-2"/>
          <w:sz w:val="22"/>
          <w:szCs w:val="22"/>
          <w:lang w:val="en-US"/>
        </w:rPr>
      </w:pPr>
      <w:r w:rsidRPr="003A3376">
        <w:rPr>
          <w:spacing w:val="-2"/>
          <w:sz w:val="22"/>
          <w:szCs w:val="22"/>
          <w:lang w:val="en-US"/>
        </w:rPr>
        <w:t xml:space="preserve">Interested </w:t>
      </w:r>
      <w:r w:rsidR="000A3DE9" w:rsidRPr="003A3376">
        <w:rPr>
          <w:spacing w:val="-2"/>
          <w:sz w:val="22"/>
          <w:szCs w:val="22"/>
          <w:lang w:val="en-US"/>
        </w:rPr>
        <w:t xml:space="preserve">applicants </w:t>
      </w:r>
      <w:r w:rsidRPr="003A3376">
        <w:rPr>
          <w:spacing w:val="-2"/>
          <w:sz w:val="22"/>
          <w:szCs w:val="22"/>
          <w:lang w:val="en-US"/>
        </w:rPr>
        <w:t xml:space="preserve">may obtain further information at the </w:t>
      </w:r>
      <w:r w:rsidR="00D46E07" w:rsidRPr="003A3376">
        <w:rPr>
          <w:spacing w:val="-2"/>
          <w:sz w:val="22"/>
          <w:szCs w:val="22"/>
          <w:lang w:val="en-US"/>
        </w:rPr>
        <w:t xml:space="preserve">e-mail </w:t>
      </w:r>
      <w:r w:rsidRPr="003A3376">
        <w:rPr>
          <w:spacing w:val="-2"/>
          <w:sz w:val="22"/>
          <w:szCs w:val="22"/>
          <w:lang w:val="en-US"/>
        </w:rPr>
        <w:t>address below</w:t>
      </w:r>
      <w:r w:rsidR="00A17F56" w:rsidRPr="003A3376">
        <w:rPr>
          <w:spacing w:val="-2"/>
          <w:sz w:val="22"/>
          <w:szCs w:val="22"/>
          <w:lang w:val="en-US"/>
        </w:rPr>
        <w:t xml:space="preserve"> </w:t>
      </w:r>
      <w:r w:rsidRPr="003A3376">
        <w:rPr>
          <w:spacing w:val="-2"/>
          <w:sz w:val="22"/>
          <w:szCs w:val="22"/>
          <w:lang w:val="en-US"/>
        </w:rPr>
        <w:t>during office hours</w:t>
      </w:r>
      <w:r w:rsidRPr="003A3376">
        <w:rPr>
          <w:i/>
          <w:spacing w:val="-2"/>
          <w:sz w:val="22"/>
          <w:szCs w:val="22"/>
          <w:lang w:val="en-US"/>
        </w:rPr>
        <w:t xml:space="preserve"> (09.</w:t>
      </w:r>
      <w:r w:rsidR="00CA65CC">
        <w:rPr>
          <w:i/>
          <w:spacing w:val="-2"/>
          <w:sz w:val="22"/>
          <w:szCs w:val="22"/>
          <w:lang w:val="en-US"/>
        </w:rPr>
        <w:t>0</w:t>
      </w:r>
      <w:r w:rsidR="00CA65CC" w:rsidRPr="003A3376">
        <w:rPr>
          <w:i/>
          <w:spacing w:val="-2"/>
          <w:sz w:val="22"/>
          <w:szCs w:val="22"/>
          <w:lang w:val="en-US"/>
        </w:rPr>
        <w:t xml:space="preserve">0 </w:t>
      </w:r>
      <w:r w:rsidRPr="003A3376">
        <w:rPr>
          <w:i/>
          <w:spacing w:val="-2"/>
          <w:sz w:val="22"/>
          <w:szCs w:val="22"/>
          <w:lang w:val="en-US"/>
        </w:rPr>
        <w:t>to 1</w:t>
      </w:r>
      <w:r w:rsidR="003C19FD" w:rsidRPr="003A3376">
        <w:rPr>
          <w:i/>
          <w:spacing w:val="-2"/>
          <w:sz w:val="22"/>
          <w:szCs w:val="22"/>
          <w:lang w:val="en-US"/>
        </w:rPr>
        <w:t>8</w:t>
      </w:r>
      <w:r w:rsidRPr="003A3376">
        <w:rPr>
          <w:i/>
          <w:spacing w:val="-2"/>
          <w:sz w:val="22"/>
          <w:szCs w:val="22"/>
          <w:lang w:val="en-US"/>
        </w:rPr>
        <w:t>.</w:t>
      </w:r>
      <w:r w:rsidR="003C19FD" w:rsidRPr="003A3376">
        <w:rPr>
          <w:i/>
          <w:spacing w:val="-2"/>
          <w:sz w:val="22"/>
          <w:szCs w:val="22"/>
          <w:lang w:val="en-US"/>
        </w:rPr>
        <w:t>0</w:t>
      </w:r>
      <w:r w:rsidRPr="003A3376">
        <w:rPr>
          <w:i/>
          <w:spacing w:val="-2"/>
          <w:sz w:val="22"/>
          <w:szCs w:val="22"/>
          <w:lang w:val="en-US"/>
        </w:rPr>
        <w:t>0)</w:t>
      </w:r>
      <w:r w:rsidRPr="003A3376">
        <w:rPr>
          <w:spacing w:val="-2"/>
          <w:sz w:val="22"/>
          <w:szCs w:val="22"/>
          <w:lang w:val="en-US"/>
        </w:rPr>
        <w:t>.</w:t>
      </w:r>
    </w:p>
    <w:p w14:paraId="355C3BE9" w14:textId="77777777" w:rsidR="00027A92" w:rsidRPr="003A3376" w:rsidRDefault="009C54B7" w:rsidP="0035275C">
      <w:pPr>
        <w:suppressAutoHyphens/>
        <w:spacing w:before="120" w:after="120"/>
        <w:jc w:val="both"/>
        <w:rPr>
          <w:spacing w:val="-2"/>
          <w:sz w:val="22"/>
          <w:szCs w:val="22"/>
          <w:lang w:val="en-US"/>
        </w:rPr>
      </w:pPr>
      <w:r w:rsidRPr="003A3376">
        <w:rPr>
          <w:spacing w:val="-2"/>
          <w:sz w:val="22"/>
          <w:szCs w:val="22"/>
          <w:u w:val="single"/>
          <w:lang w:val="en-US"/>
        </w:rPr>
        <w:t>The CV</w:t>
      </w:r>
      <w:r w:rsidR="000A3DE9" w:rsidRPr="003A3376">
        <w:rPr>
          <w:spacing w:val="-2"/>
          <w:sz w:val="22"/>
          <w:szCs w:val="22"/>
          <w:u w:val="single"/>
          <w:lang w:val="en-US"/>
        </w:rPr>
        <w:t>s</w:t>
      </w:r>
      <w:r w:rsidRPr="003A3376">
        <w:rPr>
          <w:spacing w:val="-2"/>
          <w:sz w:val="22"/>
          <w:szCs w:val="22"/>
          <w:u w:val="single"/>
          <w:lang w:val="en-US"/>
        </w:rPr>
        <w:t xml:space="preserve"> shall be sent in PDF format.</w:t>
      </w:r>
      <w:r w:rsidRPr="003A3376">
        <w:rPr>
          <w:spacing w:val="-2"/>
          <w:sz w:val="22"/>
          <w:szCs w:val="22"/>
          <w:lang w:val="en-US"/>
        </w:rPr>
        <w:t xml:space="preserve"> </w:t>
      </w:r>
      <w:r w:rsidR="00027A92" w:rsidRPr="003A3376">
        <w:rPr>
          <w:spacing w:val="-2"/>
          <w:sz w:val="22"/>
          <w:szCs w:val="22"/>
          <w:lang w:val="en-US"/>
        </w:rPr>
        <w:t>Refer</w:t>
      </w:r>
      <w:r w:rsidR="00241513" w:rsidRPr="003A3376">
        <w:rPr>
          <w:spacing w:val="-2"/>
          <w:sz w:val="22"/>
          <w:szCs w:val="22"/>
          <w:lang w:val="en-US"/>
        </w:rPr>
        <w:t>e</w:t>
      </w:r>
      <w:r w:rsidR="00027A92" w:rsidRPr="003A3376">
        <w:rPr>
          <w:spacing w:val="-2"/>
          <w:sz w:val="22"/>
          <w:szCs w:val="22"/>
          <w:lang w:val="en-US"/>
        </w:rPr>
        <w:t>nce Number of the position</w:t>
      </w:r>
      <w:r w:rsidR="00597486" w:rsidRPr="003A3376">
        <w:rPr>
          <w:spacing w:val="-2"/>
          <w:sz w:val="22"/>
          <w:szCs w:val="22"/>
          <w:lang w:val="en-US"/>
        </w:rPr>
        <w:t xml:space="preserve"> you apply for</w:t>
      </w:r>
      <w:r w:rsidR="00027A92" w:rsidRPr="003A3376">
        <w:rPr>
          <w:spacing w:val="-2"/>
          <w:sz w:val="22"/>
          <w:szCs w:val="22"/>
          <w:lang w:val="en-US"/>
        </w:rPr>
        <w:t xml:space="preserve"> shall be mentioned</w:t>
      </w:r>
      <w:r w:rsidR="00597486" w:rsidRPr="003A3376">
        <w:rPr>
          <w:spacing w:val="-2"/>
          <w:sz w:val="22"/>
          <w:szCs w:val="22"/>
          <w:lang w:val="en-US"/>
        </w:rPr>
        <w:t xml:space="preserve"> on the CV.</w:t>
      </w:r>
      <w:r w:rsidR="00027A92" w:rsidRPr="003A3376">
        <w:rPr>
          <w:spacing w:val="-2"/>
          <w:sz w:val="22"/>
          <w:szCs w:val="22"/>
          <w:lang w:val="en-US"/>
        </w:rPr>
        <w:t xml:space="preserve"> </w:t>
      </w:r>
    </w:p>
    <w:p w14:paraId="2E732912" w14:textId="77777777" w:rsidR="00BF3DDF" w:rsidRPr="003A3376" w:rsidRDefault="00BF3DDF" w:rsidP="00D42FE2">
      <w:pPr>
        <w:tabs>
          <w:tab w:val="right" w:leader="underscore" w:pos="9072"/>
        </w:tabs>
        <w:spacing w:before="142"/>
        <w:rPr>
          <w:noProof/>
          <w:sz w:val="22"/>
          <w:szCs w:val="22"/>
          <w:lang w:val="en-US"/>
        </w:rPr>
      </w:pPr>
    </w:p>
    <w:p w14:paraId="12FB5FB3" w14:textId="77777777" w:rsidR="00BF3DDF" w:rsidRPr="003A3376" w:rsidRDefault="00BF3DDF" w:rsidP="00D42FE2">
      <w:pPr>
        <w:tabs>
          <w:tab w:val="right" w:leader="underscore" w:pos="9072"/>
        </w:tabs>
        <w:spacing w:before="142"/>
        <w:rPr>
          <w:noProof/>
          <w:sz w:val="22"/>
          <w:szCs w:val="22"/>
          <w:lang w:val="en-US"/>
        </w:rPr>
      </w:pPr>
    </w:p>
    <w:p w14:paraId="5093066E" w14:textId="77777777" w:rsidR="00BF3DDF" w:rsidRPr="003A3376" w:rsidRDefault="00BF3DDF" w:rsidP="00D42FE2">
      <w:pPr>
        <w:tabs>
          <w:tab w:val="right" w:leader="underscore" w:pos="9072"/>
        </w:tabs>
        <w:spacing w:before="142"/>
        <w:rPr>
          <w:noProof/>
          <w:sz w:val="22"/>
          <w:szCs w:val="22"/>
          <w:lang w:val="en-US"/>
        </w:rPr>
      </w:pPr>
    </w:p>
    <w:p w14:paraId="336A90D7" w14:textId="7C028013"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Attn: Mr. </w:t>
      </w:r>
      <w:r w:rsidR="00A5126E">
        <w:rPr>
          <w:noProof/>
          <w:sz w:val="22"/>
          <w:szCs w:val="22"/>
          <w:lang w:val="en-US"/>
        </w:rPr>
        <w:t>Turhan Atakan</w:t>
      </w:r>
      <w:r w:rsidR="00A5126E" w:rsidRPr="003A3376">
        <w:rPr>
          <w:noProof/>
          <w:sz w:val="22"/>
          <w:szCs w:val="22"/>
          <w:lang w:val="en-US"/>
        </w:rPr>
        <w:t xml:space="preserve"> </w:t>
      </w:r>
      <w:r w:rsidR="00A5126E">
        <w:rPr>
          <w:noProof/>
          <w:sz w:val="22"/>
          <w:szCs w:val="22"/>
          <w:lang w:val="en-US"/>
        </w:rPr>
        <w:t>GÜLYURDU</w:t>
      </w:r>
      <w:r w:rsidRPr="003A3376">
        <w:rPr>
          <w:noProof/>
          <w:sz w:val="22"/>
          <w:szCs w:val="22"/>
          <w:lang w:val="en-US"/>
        </w:rPr>
        <w:t xml:space="preserve">, </w:t>
      </w:r>
      <w:r w:rsidR="00A5126E">
        <w:rPr>
          <w:noProof/>
          <w:sz w:val="22"/>
          <w:szCs w:val="22"/>
          <w:lang w:val="en-US"/>
        </w:rPr>
        <w:t xml:space="preserve">Acting </w:t>
      </w:r>
      <w:r w:rsidRPr="003A3376">
        <w:rPr>
          <w:noProof/>
          <w:sz w:val="22"/>
          <w:szCs w:val="22"/>
          <w:lang w:val="en-US"/>
        </w:rPr>
        <w:t>Manager of Contract Management Unit</w:t>
      </w:r>
    </w:p>
    <w:p w14:paraId="1A434AA5"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ILBANK International Relations Department</w:t>
      </w:r>
    </w:p>
    <w:p w14:paraId="0A0F79E4" w14:textId="77777777" w:rsidR="00D42FE2" w:rsidRPr="003A3376" w:rsidRDefault="00D42FE2" w:rsidP="00EB7E0B">
      <w:pPr>
        <w:tabs>
          <w:tab w:val="right" w:leader="underscore" w:pos="9072"/>
        </w:tabs>
        <w:rPr>
          <w:noProof/>
          <w:sz w:val="22"/>
          <w:szCs w:val="22"/>
          <w:lang w:val="en-US"/>
        </w:rPr>
      </w:pPr>
    </w:p>
    <w:p w14:paraId="0799FF84" w14:textId="77777777" w:rsidR="00BF3DDF" w:rsidRPr="003A3376" w:rsidRDefault="00BF3DDF" w:rsidP="00EB7E0B">
      <w:pPr>
        <w:tabs>
          <w:tab w:val="right" w:leader="underscore" w:pos="9072"/>
        </w:tabs>
        <w:rPr>
          <w:noProof/>
          <w:sz w:val="22"/>
          <w:szCs w:val="22"/>
          <w:lang w:val="en-US"/>
        </w:rPr>
      </w:pPr>
    </w:p>
    <w:p w14:paraId="39EC1224"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Emniyet Mahallesi Hipodrom Caddesi No: 9/21</w:t>
      </w:r>
    </w:p>
    <w:p w14:paraId="3080C8D8" w14:textId="77777777" w:rsidR="000A3DE9" w:rsidRPr="003A3376" w:rsidRDefault="000A3DE9" w:rsidP="00EB7E0B">
      <w:pPr>
        <w:tabs>
          <w:tab w:val="right" w:leader="underscore" w:pos="9072"/>
        </w:tabs>
        <w:rPr>
          <w:noProof/>
          <w:sz w:val="22"/>
          <w:szCs w:val="22"/>
          <w:lang w:val="en-US"/>
        </w:rPr>
      </w:pPr>
      <w:r w:rsidRPr="003A3376">
        <w:rPr>
          <w:noProof/>
          <w:sz w:val="22"/>
          <w:szCs w:val="22"/>
          <w:lang w:val="en-US"/>
        </w:rPr>
        <w:t>Yenimahalle/ANKARA, TÜRKİYE</w:t>
      </w:r>
    </w:p>
    <w:p w14:paraId="0F566280" w14:textId="77777777" w:rsidR="00D42FE2" w:rsidRPr="003A3376" w:rsidRDefault="00D42FE2" w:rsidP="00EB7E0B">
      <w:pPr>
        <w:tabs>
          <w:tab w:val="right" w:leader="underscore" w:pos="9072"/>
        </w:tabs>
        <w:rPr>
          <w:i/>
          <w:noProof/>
          <w:sz w:val="22"/>
          <w:szCs w:val="22"/>
          <w:lang w:val="en-US"/>
        </w:rPr>
      </w:pPr>
    </w:p>
    <w:p w14:paraId="000D6FFE"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Telephone: </w:t>
      </w:r>
      <w:r w:rsidRPr="003A3376">
        <w:rPr>
          <w:sz w:val="22"/>
          <w:szCs w:val="22"/>
          <w:lang w:val="en-US"/>
        </w:rPr>
        <w:t>+90 (312) 509 79 05</w:t>
      </w:r>
    </w:p>
    <w:p w14:paraId="1E8E0C30"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 xml:space="preserve">Email: </w:t>
      </w:r>
      <w:hyperlink r:id="rId9" w:history="1">
        <w:r w:rsidRPr="003A3376">
          <w:rPr>
            <w:rStyle w:val="Kpr"/>
            <w:noProof/>
            <w:sz w:val="22"/>
            <w:szCs w:val="22"/>
            <w:lang w:val="en-US"/>
          </w:rPr>
          <w:t>pybsatinalma@ilbank.gov.tr</w:t>
        </w:r>
      </w:hyperlink>
    </w:p>
    <w:p w14:paraId="4A7647A8" w14:textId="77777777" w:rsidR="00D42FE2" w:rsidRPr="003A3376" w:rsidRDefault="00D42FE2" w:rsidP="00EB7E0B">
      <w:pPr>
        <w:tabs>
          <w:tab w:val="right" w:leader="underscore" w:pos="9072"/>
        </w:tabs>
        <w:rPr>
          <w:noProof/>
          <w:sz w:val="22"/>
          <w:szCs w:val="22"/>
          <w:lang w:val="en-US"/>
        </w:rPr>
      </w:pPr>
      <w:r w:rsidRPr="003A3376">
        <w:rPr>
          <w:noProof/>
          <w:sz w:val="22"/>
          <w:szCs w:val="22"/>
          <w:lang w:val="en-US"/>
        </w:rPr>
        <w:t>Web site: http://www.ilbank.gov.tr</w:t>
      </w:r>
    </w:p>
    <w:p w14:paraId="36A7E4AE" w14:textId="77777777" w:rsidR="0072144E" w:rsidRPr="003A3376" w:rsidRDefault="0072144E" w:rsidP="00496C14">
      <w:pPr>
        <w:rPr>
          <w:rStyle w:val="Kpr"/>
          <w:sz w:val="22"/>
          <w:szCs w:val="22"/>
          <w:lang w:val="en-US"/>
        </w:rPr>
      </w:pPr>
    </w:p>
    <w:p w14:paraId="61FCA939" w14:textId="77777777" w:rsidR="006A08B5" w:rsidRPr="003A3376" w:rsidRDefault="006A08B5" w:rsidP="00496C14">
      <w:pPr>
        <w:rPr>
          <w:rStyle w:val="Kpr"/>
          <w:sz w:val="22"/>
          <w:szCs w:val="22"/>
          <w:lang w:val="en-US"/>
        </w:rPr>
      </w:pPr>
    </w:p>
    <w:p w14:paraId="34F4CA85" w14:textId="77777777" w:rsidR="006A08B5" w:rsidRPr="003A3376" w:rsidRDefault="006A08B5" w:rsidP="00496C14">
      <w:pPr>
        <w:rPr>
          <w:rStyle w:val="Kpr"/>
          <w:sz w:val="22"/>
          <w:szCs w:val="22"/>
          <w:lang w:val="en-US"/>
        </w:rPr>
      </w:pPr>
      <w:r w:rsidRPr="003A3376">
        <w:rPr>
          <w:rStyle w:val="Kpr"/>
          <w:sz w:val="22"/>
          <w:szCs w:val="22"/>
          <w:lang w:val="en-US"/>
        </w:rPr>
        <w:br w:type="page"/>
      </w:r>
    </w:p>
    <w:p w14:paraId="2E0A2FDA" w14:textId="77777777" w:rsidR="006A08B5" w:rsidRPr="003A3376" w:rsidRDefault="006A08B5" w:rsidP="0035275C">
      <w:pPr>
        <w:pStyle w:val="Balk5"/>
        <w:spacing w:before="0" w:after="120"/>
        <w:jc w:val="both"/>
        <w:rPr>
          <w:rFonts w:ascii="Times New Roman" w:hAnsi="Times New Roman" w:cs="Times New Roman"/>
          <w:b/>
          <w:caps/>
          <w:u w:val="single"/>
          <w:lang w:val="en-US"/>
        </w:rPr>
      </w:pPr>
      <w:r w:rsidRPr="003A3376">
        <w:rPr>
          <w:rFonts w:ascii="Times New Roman" w:hAnsi="Times New Roman" w:cs="Times New Roman"/>
          <w:b/>
          <w:caps/>
          <w:u w:val="single"/>
          <w:lang w:val="en-US"/>
        </w:rPr>
        <w:lastRenderedPageBreak/>
        <w:t xml:space="preserve">APPENDIX 1: PROJECT DESCRIPTION </w:t>
      </w:r>
    </w:p>
    <w:p w14:paraId="57DA8860" w14:textId="77777777" w:rsidR="006A08B5" w:rsidRPr="003A3376" w:rsidRDefault="006A08B5" w:rsidP="0035275C">
      <w:pPr>
        <w:spacing w:after="120" w:line="276" w:lineRule="auto"/>
        <w:jc w:val="both"/>
        <w:rPr>
          <w:sz w:val="22"/>
          <w:szCs w:val="22"/>
          <w:lang w:val="en-US"/>
        </w:rPr>
      </w:pPr>
    </w:p>
    <w:p w14:paraId="75AE9DF8"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bookmarkStart w:id="1" w:name="_Toc526829982"/>
      <w:bookmarkStart w:id="2" w:name="_Toc142968177"/>
      <w:r w:rsidRPr="003A3376">
        <w:rPr>
          <w:rFonts w:ascii="Times New Roman" w:hAnsi="Times New Roman" w:cs="Times New Roman"/>
          <w:sz w:val="22"/>
          <w:szCs w:val="22"/>
          <w:lang w:val="en-US"/>
        </w:rPr>
        <w:t>CONTEXT OF THE PROJECT</w:t>
      </w:r>
    </w:p>
    <w:p w14:paraId="5E56C165" w14:textId="28CDD15C" w:rsidR="006A08B5" w:rsidRPr="003A3376" w:rsidRDefault="003A3376" w:rsidP="0035275C">
      <w:pPr>
        <w:spacing w:after="120" w:line="276" w:lineRule="auto"/>
        <w:jc w:val="both"/>
        <w:rPr>
          <w:sz w:val="22"/>
          <w:szCs w:val="22"/>
          <w:lang w:val="en-US"/>
        </w:rPr>
      </w:pPr>
      <w:r w:rsidRPr="00187642">
        <w:rPr>
          <w:spacing w:val="-2"/>
          <w:sz w:val="22"/>
          <w:szCs w:val="22"/>
          <w:lang w:val="en-US"/>
        </w:rPr>
        <w:t>ILBANK</w:t>
      </w:r>
      <w:r w:rsidRPr="003A3376" w:rsidDel="003A3376">
        <w:rPr>
          <w:sz w:val="22"/>
          <w:szCs w:val="22"/>
          <w:lang w:val="en-US"/>
        </w:rPr>
        <w:t xml:space="preserve"> </w:t>
      </w:r>
      <w:r w:rsidR="000A3DE9" w:rsidRPr="003A3376">
        <w:rPr>
          <w:sz w:val="22"/>
          <w:szCs w:val="22"/>
          <w:lang w:val="en-US"/>
        </w:rPr>
        <w:t>has signed a grant agreement (the “Financing Agreement”) with the French Development Agency (Agence Fran</w:t>
      </w:r>
      <w:r w:rsidR="00EC3FD4">
        <w:rPr>
          <w:sz w:val="22"/>
          <w:szCs w:val="22"/>
          <w:lang w:val="en-US"/>
        </w:rPr>
        <w:t>ç</w:t>
      </w:r>
      <w:r w:rsidR="000A3DE9" w:rsidRPr="003A3376">
        <w:rPr>
          <w:sz w:val="22"/>
          <w:szCs w:val="22"/>
          <w:lang w:val="en-US"/>
        </w:rPr>
        <w:t>aise de Developpement - AFD) on 13th April 2020, towards financing the costs of the “Municipal Services Project I” (the “Project”). The grant was delegated to AFD by the European Commission under the European Union Facility for Refugees in Turkey (FR</w:t>
      </w:r>
      <w:r w:rsidR="00DA1A83">
        <w:rPr>
          <w:sz w:val="22"/>
          <w:szCs w:val="22"/>
          <w:lang w:val="en-US"/>
        </w:rPr>
        <w:t>i</w:t>
      </w:r>
      <w:r w:rsidR="000A3DE9" w:rsidRPr="003A3376">
        <w:rPr>
          <w:sz w:val="22"/>
          <w:szCs w:val="22"/>
          <w:lang w:val="en-US"/>
        </w:rPr>
        <w:t>T</w:t>
      </w:r>
      <w:r w:rsidR="00DA1A83">
        <w:rPr>
          <w:sz w:val="22"/>
          <w:szCs w:val="22"/>
          <w:lang w:val="en-US"/>
        </w:rPr>
        <w:t>-II</w:t>
      </w:r>
      <w:r w:rsidR="000A3DE9" w:rsidRPr="003A3376">
        <w:rPr>
          <w:sz w:val="22"/>
          <w:szCs w:val="22"/>
          <w:lang w:val="en-US"/>
        </w:rPr>
        <w:t xml:space="preserve">). </w:t>
      </w:r>
      <w:r w:rsidRPr="00187642">
        <w:rPr>
          <w:spacing w:val="-2"/>
          <w:sz w:val="22"/>
          <w:szCs w:val="22"/>
          <w:lang w:val="en-US"/>
        </w:rPr>
        <w:t>ILBANK</w:t>
      </w:r>
      <w:r w:rsidR="000A3DE9" w:rsidRPr="003A3376">
        <w:rPr>
          <w:sz w:val="22"/>
          <w:szCs w:val="22"/>
          <w:lang w:val="en-US"/>
        </w:rPr>
        <w:t>, AFD and the European Commission have agreed to extend the scope of the Project. An Amendment n°1 to the Contribution Agreement between the Commission and the Agency was signed on December 18th, 2020.</w:t>
      </w:r>
    </w:p>
    <w:p w14:paraId="414638ED" w14:textId="77777777" w:rsidR="006A08B5" w:rsidRPr="003A3376" w:rsidRDefault="006A08B5" w:rsidP="00BE5D91">
      <w:pPr>
        <w:pStyle w:val="Balk1"/>
        <w:keepNext w:val="0"/>
        <w:keepLines w:val="0"/>
        <w:spacing w:before="24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t>OBJECTIVES AND CONTENT OF THE PROJECT</w:t>
      </w:r>
    </w:p>
    <w:p w14:paraId="3E02B1E4"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overall objective of the Project is to contribute to the improvement of the living conditions of host communities and </w:t>
      </w:r>
      <w:r w:rsidR="00DA1A83" w:rsidRPr="003A3376">
        <w:rPr>
          <w:rFonts w:eastAsia="Times New Roman"/>
          <w:sz w:val="22"/>
          <w:szCs w:val="22"/>
          <w:lang w:val="en-US" w:eastAsia="fr-FR"/>
        </w:rPr>
        <w:t>Syrians under Temporary Protection</w:t>
      </w:r>
      <w:r w:rsidR="00DA1A83">
        <w:rPr>
          <w:rFonts w:eastAsia="Times New Roman"/>
          <w:sz w:val="22"/>
          <w:szCs w:val="22"/>
          <w:lang w:val="en-US" w:eastAsia="fr-FR"/>
        </w:rPr>
        <w:t xml:space="preserve"> (</w:t>
      </w:r>
      <w:r w:rsidR="00DA1A83" w:rsidRPr="003A3376">
        <w:rPr>
          <w:rFonts w:eastAsia="Times New Roman"/>
          <w:sz w:val="22"/>
          <w:szCs w:val="22"/>
          <w:lang w:val="en-US" w:eastAsia="fr-FR"/>
        </w:rPr>
        <w:t>SuTPs)</w:t>
      </w:r>
      <w:r w:rsidR="000A3DE9" w:rsidRPr="003A3376">
        <w:rPr>
          <w:sz w:val="22"/>
          <w:szCs w:val="22"/>
          <w:lang w:val="en-US"/>
        </w:rPr>
        <w:t xml:space="preserve"> in the South-East</w:t>
      </w:r>
      <w:r w:rsidRPr="003A3376">
        <w:rPr>
          <w:sz w:val="22"/>
          <w:szCs w:val="22"/>
          <w:lang w:val="en-US"/>
        </w:rPr>
        <w:t xml:space="preserve"> of </w:t>
      </w:r>
      <w:r w:rsidR="000A3DE9" w:rsidRPr="003A3376">
        <w:rPr>
          <w:sz w:val="22"/>
          <w:szCs w:val="22"/>
          <w:lang w:val="en-US"/>
        </w:rPr>
        <w:t xml:space="preserve">Türkiye </w:t>
      </w:r>
      <w:r w:rsidRPr="003A3376">
        <w:rPr>
          <w:sz w:val="22"/>
          <w:szCs w:val="22"/>
          <w:lang w:val="en-US"/>
        </w:rPr>
        <w:t xml:space="preserve">in terms of access to water and </w:t>
      </w:r>
      <w:r w:rsidR="000A3DE9" w:rsidRPr="003A3376">
        <w:rPr>
          <w:sz w:val="22"/>
          <w:szCs w:val="22"/>
          <w:lang w:val="en-US"/>
        </w:rPr>
        <w:t xml:space="preserve">wastewater </w:t>
      </w:r>
      <w:r w:rsidRPr="003A3376">
        <w:rPr>
          <w:sz w:val="22"/>
          <w:szCs w:val="22"/>
          <w:lang w:val="en-US"/>
        </w:rPr>
        <w:t xml:space="preserve">services. </w:t>
      </w:r>
    </w:p>
    <w:p w14:paraId="086F50D9" w14:textId="77777777" w:rsidR="006A08B5" w:rsidRPr="003A3376" w:rsidRDefault="006A08B5" w:rsidP="0035275C">
      <w:pPr>
        <w:spacing w:after="120" w:line="276" w:lineRule="auto"/>
        <w:jc w:val="both"/>
        <w:rPr>
          <w:sz w:val="22"/>
          <w:szCs w:val="22"/>
          <w:lang w:val="en-US"/>
        </w:rPr>
      </w:pPr>
      <w:r w:rsidRPr="003A3376">
        <w:rPr>
          <w:sz w:val="22"/>
          <w:szCs w:val="22"/>
          <w:lang w:val="en-US"/>
        </w:rPr>
        <w:t>The specific objectives are as follows:</w:t>
      </w:r>
    </w:p>
    <w:p w14:paraId="317D4037" w14:textId="77777777" w:rsidR="006A08B5" w:rsidRPr="003A3376" w:rsidRDefault="006A08B5" w:rsidP="00BE5D91">
      <w:pPr>
        <w:pStyle w:val="ListeParagraf"/>
        <w:numPr>
          <w:ilvl w:val="0"/>
          <w:numId w:val="6"/>
        </w:numPr>
        <w:spacing w:before="0" w:beforeAutospacing="0" w:after="0" w:afterAutospacing="0"/>
        <w:ind w:left="641" w:hanging="357"/>
        <w:jc w:val="both"/>
        <w:rPr>
          <w:rFonts w:eastAsia="Times New Roman"/>
          <w:sz w:val="22"/>
          <w:szCs w:val="22"/>
          <w:lang w:val="en-US" w:eastAsia="fr-FR"/>
        </w:rPr>
      </w:pPr>
      <w:r w:rsidRPr="003A3376">
        <w:rPr>
          <w:rFonts w:eastAsia="Times New Roman"/>
          <w:sz w:val="22"/>
          <w:szCs w:val="22"/>
          <w:lang w:val="en-US" w:eastAsia="fr-FR"/>
        </w:rPr>
        <w:t xml:space="preserve">Provide access for host communities and </w:t>
      </w:r>
      <w:r w:rsidR="004944E4" w:rsidRPr="003A3376">
        <w:rPr>
          <w:rFonts w:eastAsia="Times New Roman"/>
          <w:sz w:val="22"/>
          <w:szCs w:val="22"/>
          <w:lang w:val="en-US" w:eastAsia="fr-FR"/>
        </w:rPr>
        <w:t>SuTPs</w:t>
      </w:r>
      <w:r w:rsidRPr="003A3376">
        <w:rPr>
          <w:rFonts w:eastAsia="Times New Roman"/>
          <w:sz w:val="22"/>
          <w:szCs w:val="22"/>
          <w:lang w:val="en-US" w:eastAsia="fr-FR"/>
        </w:rPr>
        <w:t xml:space="preserve"> to safely drinking water</w:t>
      </w:r>
      <w:r w:rsidR="000A3DE9" w:rsidRPr="003A3376">
        <w:rPr>
          <w:rFonts w:eastAsia="Times New Roman"/>
          <w:sz w:val="22"/>
          <w:szCs w:val="22"/>
          <w:lang w:val="en-US" w:eastAsia="fr-FR"/>
        </w:rPr>
        <w:t>,</w:t>
      </w:r>
      <w:r w:rsidRPr="003A3376">
        <w:rPr>
          <w:rFonts w:eastAsia="Times New Roman"/>
          <w:sz w:val="22"/>
          <w:szCs w:val="22"/>
          <w:lang w:val="en-US" w:eastAsia="fr-FR"/>
        </w:rPr>
        <w:t xml:space="preserve"> wastewater</w:t>
      </w:r>
      <w:r w:rsidR="000A3DE9" w:rsidRPr="003A3376">
        <w:rPr>
          <w:rFonts w:eastAsia="Times New Roman"/>
          <w:sz w:val="22"/>
          <w:szCs w:val="22"/>
          <w:lang w:val="en-US" w:eastAsia="fr-FR"/>
        </w:rPr>
        <w:t>, and solid waste</w:t>
      </w:r>
      <w:r w:rsidRPr="003A3376">
        <w:rPr>
          <w:rFonts w:eastAsia="Times New Roman"/>
          <w:sz w:val="22"/>
          <w:szCs w:val="22"/>
          <w:lang w:val="en-US" w:eastAsia="fr-FR"/>
        </w:rPr>
        <w:t xml:space="preserve"> services.</w:t>
      </w:r>
    </w:p>
    <w:p w14:paraId="2D155E57" w14:textId="77777777" w:rsidR="006A08B5" w:rsidRPr="003A3376" w:rsidRDefault="006A08B5"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Participate in the protection of the region’s environment and, in particular, of its resources in fresh water, under stress due to climate change.</w:t>
      </w:r>
    </w:p>
    <w:p w14:paraId="27D0F9B6" w14:textId="77777777" w:rsidR="006A08B5"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3A3376">
        <w:rPr>
          <w:rFonts w:eastAsia="Times New Roman"/>
          <w:sz w:val="22"/>
          <w:szCs w:val="22"/>
          <w:lang w:val="en-US" w:eastAsia="fr-FR"/>
        </w:rPr>
        <w:t xml:space="preserve">Contribute </w:t>
      </w:r>
      <w:r w:rsidRPr="00EB7E0B">
        <w:rPr>
          <w:rStyle w:val="Gvdemetni0"/>
          <w:rFonts w:eastAsiaTheme="minorEastAsia"/>
          <w:sz w:val="22"/>
          <w:lang w:val="en-US"/>
        </w:rPr>
        <w:t>to the mitigation of greenhouse gas emissions through an improved management of municipal solid waste and wastewater.</w:t>
      </w:r>
    </w:p>
    <w:p w14:paraId="1708873F" w14:textId="77777777" w:rsidR="00675C69" w:rsidRPr="003A3376" w:rsidRDefault="00675C69" w:rsidP="00BE5D91">
      <w:pPr>
        <w:pStyle w:val="ListeParagraf"/>
        <w:numPr>
          <w:ilvl w:val="0"/>
          <w:numId w:val="6"/>
        </w:numPr>
        <w:spacing w:before="0" w:beforeAutospacing="0" w:after="0" w:afterAutospacing="0"/>
        <w:jc w:val="both"/>
        <w:rPr>
          <w:rFonts w:eastAsia="Times New Roman"/>
          <w:sz w:val="22"/>
          <w:szCs w:val="22"/>
          <w:lang w:val="en-US" w:eastAsia="fr-FR"/>
        </w:rPr>
      </w:pPr>
      <w:r w:rsidRPr="00EB7E0B">
        <w:rPr>
          <w:rFonts w:eastAsia="Times New Roman"/>
          <w:sz w:val="22"/>
          <w:szCs w:val="22"/>
          <w:lang w:val="en-US" w:eastAsia="fr-FR"/>
        </w:rPr>
        <w:t>Support the municipalities and water and sewerage administrations (Su ve Kanalizasyon Idaresi or SKI’s) in achieving operational and financial sustainability in solid waste, water and wastewater services.</w:t>
      </w:r>
    </w:p>
    <w:p w14:paraId="3D394458" w14:textId="77777777" w:rsidR="00675C69" w:rsidRPr="003A3376" w:rsidRDefault="00675C69" w:rsidP="00BE5D91">
      <w:pPr>
        <w:spacing w:before="120" w:after="120" w:line="276" w:lineRule="auto"/>
        <w:jc w:val="both"/>
        <w:rPr>
          <w:rFonts w:eastAsia="Times New Roman"/>
          <w:sz w:val="22"/>
          <w:szCs w:val="22"/>
          <w:lang w:val="en-US" w:eastAsia="fr-FR"/>
        </w:rPr>
      </w:pPr>
      <w:r w:rsidRPr="00EB7E0B">
        <w:rPr>
          <w:rFonts w:eastAsia="Times New Roman"/>
          <w:sz w:val="22"/>
          <w:szCs w:val="22"/>
          <w:lang w:val="en-US" w:eastAsia="fr-FR"/>
        </w:rPr>
        <w:t>The specific objectives (ii), (iii) and (iv) are essential to the first objective’s sustainability.</w:t>
      </w:r>
    </w:p>
    <w:p w14:paraId="64193747" w14:textId="64047BD3" w:rsidR="00675C69" w:rsidRPr="00BE5D91" w:rsidRDefault="00675C69" w:rsidP="00BE5D91">
      <w:pPr>
        <w:jc w:val="both"/>
        <w:rPr>
          <w:lang w:val="en-US"/>
        </w:rPr>
      </w:pPr>
      <w:r w:rsidRPr="004C53B6">
        <w:rPr>
          <w:sz w:val="22"/>
          <w:szCs w:val="22"/>
          <w:lang w:val="en-US"/>
        </w:rPr>
        <w:t xml:space="preserve">The </w:t>
      </w:r>
      <w:r w:rsidR="004C53B6">
        <w:rPr>
          <w:sz w:val="22"/>
          <w:szCs w:val="22"/>
          <w:lang w:val="en-US"/>
        </w:rPr>
        <w:t>Project</w:t>
      </w:r>
      <w:r w:rsidRPr="004C53B6">
        <w:rPr>
          <w:sz w:val="22"/>
          <w:szCs w:val="22"/>
          <w:lang w:val="en-US"/>
        </w:rPr>
        <w:t xml:space="preserve"> will consist of three main components, one infrastructure component (Component 1) and one capacity</w:t>
      </w:r>
      <w:r w:rsidRPr="00EB7E0B">
        <w:rPr>
          <w:sz w:val="22"/>
          <w:szCs w:val="22"/>
          <w:lang w:val="en-US"/>
        </w:rPr>
        <w:t xml:space="preserve"> building and technical assistance component (Component 2), as well as a communication and visibility component</w:t>
      </w:r>
      <w:r w:rsidRPr="00EB7E0B">
        <w:rPr>
          <w:rFonts w:eastAsia="Arial"/>
          <w:spacing w:val="-2"/>
          <w:sz w:val="22"/>
          <w:szCs w:val="22"/>
          <w:lang w:val="en-US" w:eastAsia="sq"/>
        </w:rPr>
        <w:t xml:space="preserve"> (Component</w:t>
      </w:r>
      <w:r w:rsidRPr="00EB7E0B">
        <w:rPr>
          <w:rFonts w:eastAsia="Arial"/>
          <w:spacing w:val="-2"/>
          <w:sz w:val="22"/>
          <w:lang w:val="en-US" w:eastAsia="sq"/>
        </w:rPr>
        <w:t xml:space="preserve"> 3).</w:t>
      </w:r>
    </w:p>
    <w:p w14:paraId="366A8931" w14:textId="77777777" w:rsidR="006A08B5" w:rsidRPr="003A3376" w:rsidRDefault="006A08B5" w:rsidP="00BE5D91">
      <w:pPr>
        <w:pStyle w:val="ListeParagraf"/>
        <w:tabs>
          <w:tab w:val="left" w:pos="851"/>
        </w:tabs>
        <w:spacing w:before="120" w:beforeAutospacing="0" w:after="120" w:afterAutospacing="0" w:line="276" w:lineRule="auto"/>
        <w:jc w:val="both"/>
        <w:rPr>
          <w:rFonts w:eastAsia="Times New Roman"/>
          <w:sz w:val="22"/>
          <w:szCs w:val="22"/>
          <w:lang w:val="en-US" w:eastAsia="fr-FR"/>
        </w:rPr>
      </w:pPr>
      <w:r w:rsidRPr="003A3376">
        <w:rPr>
          <w:rFonts w:eastAsia="Times New Roman"/>
          <w:sz w:val="22"/>
          <w:szCs w:val="22"/>
          <w:lang w:val="en-US" w:eastAsia="fr-FR"/>
        </w:rPr>
        <w:t>The Project</w:t>
      </w:r>
      <w:r w:rsidR="00675C69" w:rsidRPr="003A3376">
        <w:rPr>
          <w:rFonts w:eastAsia="Times New Roman"/>
          <w:sz w:val="22"/>
          <w:szCs w:val="22"/>
          <w:lang w:val="en-US" w:eastAsia="fr-FR"/>
        </w:rPr>
        <w:t xml:space="preserve"> which is meant to last 66 months from 1st January 2020 onward,</w:t>
      </w:r>
      <w:r w:rsidRPr="003A3376">
        <w:rPr>
          <w:rFonts w:eastAsia="Times New Roman"/>
          <w:sz w:val="22"/>
          <w:szCs w:val="22"/>
          <w:lang w:val="en-US" w:eastAsia="fr-FR"/>
        </w:rPr>
        <w:t xml:space="preserve"> has three components: </w:t>
      </w:r>
    </w:p>
    <w:p w14:paraId="301DF3F2"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water</w:t>
      </w:r>
      <w:r w:rsidR="00E55286" w:rsidRPr="003A3376">
        <w:rPr>
          <w:rFonts w:eastAsia="Times New Roman"/>
          <w:sz w:val="22"/>
          <w:szCs w:val="22"/>
          <w:lang w:val="en-US" w:eastAsia="fr-FR"/>
        </w:rPr>
        <w:t>, wastewater</w:t>
      </w:r>
      <w:r w:rsidRPr="003A3376">
        <w:rPr>
          <w:rFonts w:eastAsia="Times New Roman"/>
          <w:sz w:val="22"/>
          <w:szCs w:val="22"/>
          <w:lang w:val="en-US" w:eastAsia="fr-FR"/>
        </w:rPr>
        <w:t xml:space="preserve"> and </w:t>
      </w:r>
      <w:r w:rsidR="00E55286" w:rsidRPr="003A3376">
        <w:rPr>
          <w:rFonts w:eastAsia="Times New Roman"/>
          <w:sz w:val="22"/>
          <w:szCs w:val="22"/>
          <w:lang w:val="en-US" w:eastAsia="fr-FR"/>
        </w:rPr>
        <w:t xml:space="preserve">solid waste </w:t>
      </w:r>
      <w:r w:rsidRPr="003A3376">
        <w:rPr>
          <w:rFonts w:eastAsia="Times New Roman"/>
          <w:sz w:val="22"/>
          <w:szCs w:val="22"/>
          <w:lang w:val="en-US" w:eastAsia="fr-FR"/>
        </w:rPr>
        <w:t xml:space="preserve">infrastructure investment component, comprising </w:t>
      </w:r>
      <w:r w:rsidR="00E55286" w:rsidRPr="003A3376">
        <w:rPr>
          <w:rFonts w:eastAsia="Times New Roman"/>
          <w:sz w:val="22"/>
          <w:szCs w:val="22"/>
          <w:lang w:val="en-US" w:eastAsia="fr-FR"/>
        </w:rPr>
        <w:t xml:space="preserve">nineteen </w:t>
      </w:r>
      <w:r w:rsidRPr="003A3376">
        <w:rPr>
          <w:rFonts w:eastAsia="Times New Roman"/>
          <w:sz w:val="22"/>
          <w:szCs w:val="22"/>
          <w:lang w:val="en-US" w:eastAsia="fr-FR"/>
        </w:rPr>
        <w:t xml:space="preserve">projects located in </w:t>
      </w:r>
      <w:r w:rsidR="00E55286" w:rsidRPr="003A3376">
        <w:rPr>
          <w:rFonts w:eastAsia="Times New Roman"/>
          <w:sz w:val="22"/>
          <w:szCs w:val="22"/>
          <w:lang w:val="en-US" w:eastAsia="fr-FR"/>
        </w:rPr>
        <w:t xml:space="preserve">eight </w:t>
      </w:r>
      <w:r w:rsidRPr="003A3376">
        <w:rPr>
          <w:rFonts w:eastAsia="Times New Roman"/>
          <w:sz w:val="22"/>
          <w:szCs w:val="22"/>
          <w:lang w:val="en-US" w:eastAsia="fr-FR"/>
        </w:rPr>
        <w:t>provinces (Kilis, Şanlıurfa, Gaziantep, Mardin, Mersin</w:t>
      </w:r>
      <w:r w:rsidR="00E55286" w:rsidRPr="003A3376">
        <w:rPr>
          <w:rFonts w:eastAsia="Times New Roman"/>
          <w:sz w:val="22"/>
          <w:szCs w:val="22"/>
          <w:lang w:val="en-US" w:eastAsia="fr-FR"/>
        </w:rPr>
        <w:t>, Hatay, Malatya,</w:t>
      </w:r>
      <w:r w:rsidRPr="003A3376">
        <w:rPr>
          <w:rFonts w:eastAsia="Times New Roman"/>
          <w:sz w:val="22"/>
          <w:szCs w:val="22"/>
          <w:lang w:val="en-US" w:eastAsia="fr-FR"/>
        </w:rPr>
        <w:t xml:space="preserve"> and Adıyaman); </w:t>
      </w:r>
    </w:p>
    <w:p w14:paraId="082447E9"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rFonts w:eastAsia="Times New Roman"/>
          <w:sz w:val="22"/>
          <w:szCs w:val="22"/>
          <w:lang w:val="en-US" w:eastAsia="fr-FR"/>
        </w:rPr>
      </w:pPr>
      <w:r w:rsidRPr="003A3376">
        <w:rPr>
          <w:rFonts w:eastAsia="Times New Roman"/>
          <w:sz w:val="22"/>
          <w:szCs w:val="22"/>
          <w:lang w:val="en-US" w:eastAsia="fr-FR"/>
        </w:rPr>
        <w:t>A technical assistance component, including in particular accompanying measures to improve the performance of</w:t>
      </w:r>
      <w:r w:rsidR="00E55286" w:rsidRPr="003A3376">
        <w:rPr>
          <w:rFonts w:eastAsia="Times New Roman"/>
          <w:sz w:val="22"/>
          <w:szCs w:val="22"/>
          <w:lang w:val="en-US" w:eastAsia="fr-FR"/>
        </w:rPr>
        <w:t xml:space="preserve"> solid waste,</w:t>
      </w:r>
      <w:r w:rsidRPr="003A3376">
        <w:rPr>
          <w:rFonts w:eastAsia="Times New Roman"/>
          <w:sz w:val="22"/>
          <w:szCs w:val="22"/>
          <w:lang w:val="en-US" w:eastAsia="fr-FR"/>
        </w:rPr>
        <w:t xml:space="preserve"> water and </w:t>
      </w:r>
      <w:r w:rsidR="00E55286" w:rsidRPr="003A3376">
        <w:rPr>
          <w:rFonts w:eastAsia="Times New Roman"/>
          <w:sz w:val="22"/>
          <w:szCs w:val="22"/>
          <w:lang w:val="en-US" w:eastAsia="fr-FR"/>
        </w:rPr>
        <w:t xml:space="preserve">wastewater </w:t>
      </w:r>
      <w:r w:rsidRPr="003A3376">
        <w:rPr>
          <w:rFonts w:eastAsia="Times New Roman"/>
          <w:sz w:val="22"/>
          <w:szCs w:val="22"/>
          <w:lang w:val="en-US" w:eastAsia="fr-FR"/>
        </w:rPr>
        <w:t xml:space="preserve">operators (municipalities and SKIs), and to support ILBANK in on-granting management of the Project; </w:t>
      </w:r>
    </w:p>
    <w:p w14:paraId="72E76393" w14:textId="77777777" w:rsidR="006A08B5" w:rsidRPr="003A3376" w:rsidRDefault="006A08B5" w:rsidP="0035275C">
      <w:pPr>
        <w:pStyle w:val="ListeParagraf"/>
        <w:numPr>
          <w:ilvl w:val="0"/>
          <w:numId w:val="5"/>
        </w:numPr>
        <w:tabs>
          <w:tab w:val="left" w:pos="851"/>
        </w:tabs>
        <w:spacing w:before="0" w:beforeAutospacing="0" w:after="120" w:afterAutospacing="0" w:line="276" w:lineRule="auto"/>
        <w:ind w:left="851"/>
        <w:contextualSpacing/>
        <w:jc w:val="both"/>
        <w:rPr>
          <w:sz w:val="22"/>
          <w:szCs w:val="22"/>
          <w:lang w:val="en-US"/>
        </w:rPr>
      </w:pPr>
      <w:r w:rsidRPr="003A3376">
        <w:rPr>
          <w:rFonts w:eastAsia="Times New Roman"/>
          <w:sz w:val="22"/>
          <w:szCs w:val="22"/>
          <w:lang w:val="en-US" w:eastAsia="fr-FR"/>
        </w:rPr>
        <w:t>Communication and visibility actions</w:t>
      </w:r>
      <w:r w:rsidRPr="003A3376">
        <w:rPr>
          <w:sz w:val="22"/>
          <w:szCs w:val="22"/>
          <w:lang w:val="en-US"/>
        </w:rPr>
        <w:t>.</w:t>
      </w:r>
    </w:p>
    <w:p w14:paraId="31E3E581" w14:textId="77777777" w:rsidR="00EB2B80" w:rsidRPr="00EB7E0B" w:rsidRDefault="00EB2B80" w:rsidP="00EB7E0B">
      <w:pPr>
        <w:tabs>
          <w:tab w:val="left" w:pos="851"/>
        </w:tabs>
        <w:spacing w:after="120" w:line="276" w:lineRule="auto"/>
        <w:ind w:left="491"/>
        <w:contextualSpacing/>
        <w:jc w:val="both"/>
        <w:rPr>
          <w:sz w:val="22"/>
          <w:szCs w:val="22"/>
          <w:lang w:val="en-US"/>
        </w:rPr>
      </w:pPr>
    </w:p>
    <w:p w14:paraId="0EE85D4F" w14:textId="77777777" w:rsidR="007D6D96" w:rsidRDefault="007D6D96">
      <w:pPr>
        <w:spacing w:after="160" w:line="259" w:lineRule="auto"/>
        <w:rPr>
          <w:rFonts w:asciiTheme="majorHAnsi" w:eastAsiaTheme="majorEastAsia" w:hAnsiTheme="majorHAnsi" w:cstheme="majorBidi"/>
          <w:b/>
          <w:bCs/>
          <w:color w:val="2E74B5" w:themeColor="accent1" w:themeShade="BF"/>
          <w:sz w:val="22"/>
          <w:szCs w:val="22"/>
          <w:lang w:val="en-US" w:eastAsia="en-US"/>
        </w:rPr>
      </w:pPr>
      <w:r>
        <w:rPr>
          <w:sz w:val="22"/>
          <w:szCs w:val="22"/>
          <w:lang w:val="en-US"/>
        </w:rPr>
        <w:br w:type="page"/>
      </w:r>
    </w:p>
    <w:p w14:paraId="03505234" w14:textId="77777777" w:rsidR="006A08B5" w:rsidRPr="003A3376" w:rsidRDefault="006A08B5" w:rsidP="0035275C">
      <w:pPr>
        <w:pStyle w:val="Balk1"/>
        <w:keepNext w:val="0"/>
        <w:keepLines w:val="0"/>
        <w:spacing w:before="0" w:after="120"/>
        <w:jc w:val="both"/>
        <w:rPr>
          <w:rFonts w:ascii="Times New Roman" w:hAnsi="Times New Roman" w:cs="Times New Roman"/>
          <w:sz w:val="22"/>
          <w:szCs w:val="22"/>
          <w:lang w:val="en-US"/>
        </w:rPr>
      </w:pPr>
      <w:r w:rsidRPr="003A3376">
        <w:rPr>
          <w:rFonts w:ascii="Times New Roman" w:hAnsi="Times New Roman" w:cs="Times New Roman"/>
          <w:sz w:val="22"/>
          <w:szCs w:val="22"/>
          <w:lang w:val="en-US"/>
        </w:rPr>
        <w:lastRenderedPageBreak/>
        <w:t xml:space="preserve">STAKEHOLDERS AND MODUS OPERANDI  </w:t>
      </w:r>
    </w:p>
    <w:p w14:paraId="3B6E58B4" w14:textId="77777777" w:rsidR="0058306B" w:rsidRPr="003A3376" w:rsidRDefault="0058306B" w:rsidP="0058306B">
      <w:pPr>
        <w:spacing w:after="120" w:line="276" w:lineRule="auto"/>
        <w:jc w:val="both"/>
        <w:rPr>
          <w:sz w:val="22"/>
          <w:szCs w:val="22"/>
          <w:lang w:val="en-US"/>
        </w:rPr>
      </w:pPr>
      <w:r w:rsidRPr="003A3376">
        <w:rPr>
          <w:sz w:val="22"/>
          <w:szCs w:val="22"/>
          <w:lang w:val="en-US"/>
        </w:rPr>
        <w:t>The Final Beneficiaries of the Project are the targeted water and wastewater operators, whether municipalities or SKI</w:t>
      </w:r>
      <w:r w:rsidR="007D6D96">
        <w:rPr>
          <w:sz w:val="22"/>
          <w:szCs w:val="22"/>
          <w:lang w:val="en-US"/>
        </w:rPr>
        <w:t>s</w:t>
      </w:r>
      <w:r w:rsidRPr="003A3376">
        <w:rPr>
          <w:sz w:val="22"/>
          <w:szCs w:val="22"/>
          <w:lang w:val="en-US"/>
        </w:rPr>
        <w:t>, with which ILBANK signed On-Granting Agreements, and which will be the owners of the assets financed as part of Component 1. These are:</w:t>
      </w:r>
    </w:p>
    <w:p w14:paraId="134DB3A2"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6 SKI</w:t>
      </w:r>
      <w:r w:rsidR="007D6D96" w:rsidRPr="004C53B6">
        <w:rPr>
          <w:rFonts w:ascii="Times New Roman" w:eastAsiaTheme="minorEastAsia" w:hAnsi="Times New Roman"/>
          <w:color w:val="000000" w:themeColor="text1"/>
          <w:spacing w:val="-2"/>
          <w:lang w:val="en-US" w:eastAsia="tr-TR"/>
        </w:rPr>
        <w:t>s</w:t>
      </w:r>
      <w:r w:rsidRPr="004C53B6">
        <w:rPr>
          <w:rFonts w:ascii="Times New Roman" w:eastAsiaTheme="minorEastAsia" w:hAnsi="Times New Roman"/>
          <w:color w:val="000000" w:themeColor="text1"/>
          <w:spacing w:val="-2"/>
          <w:lang w:val="en-US" w:eastAsia="tr-TR"/>
        </w:rPr>
        <w:t xml:space="preserve"> in Şanlıurfa (SUSKI), Gaziantep (GASKI), Mardin (MARSU), Mersin (MESKI), Hatay</w:t>
      </w:r>
    </w:p>
    <w:p w14:paraId="26F107D9"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(HATSU) and Malatya (MASKI)</w:t>
      </w:r>
      <w:r w:rsidR="007D6D96" w:rsidRPr="004C53B6">
        <w:rPr>
          <w:rFonts w:ascii="Times New Roman" w:eastAsiaTheme="minorEastAsia" w:hAnsi="Times New Roman"/>
          <w:color w:val="000000" w:themeColor="text1"/>
          <w:spacing w:val="-2"/>
          <w:lang w:val="en-US" w:eastAsia="tr-TR"/>
        </w:rPr>
        <w:t xml:space="preserve"> provinces</w:t>
      </w:r>
      <w:r w:rsidRPr="004C53B6">
        <w:rPr>
          <w:rFonts w:ascii="Times New Roman" w:eastAsiaTheme="minorEastAsia" w:hAnsi="Times New Roman"/>
          <w:color w:val="000000" w:themeColor="text1"/>
          <w:spacing w:val="-2"/>
          <w:lang w:val="en-US" w:eastAsia="tr-TR"/>
        </w:rPr>
        <w:t>;</w:t>
      </w:r>
    </w:p>
    <w:p w14:paraId="07C6D9F1" w14:textId="77777777" w:rsidR="0058306B" w:rsidRPr="004C53B6" w:rsidRDefault="0058306B" w:rsidP="004C53B6">
      <w:pPr>
        <w:pStyle w:val="GvdeMetniGirintisi"/>
        <w:widowControl/>
        <w:numPr>
          <w:ilvl w:val="0"/>
          <w:numId w:val="1"/>
        </w:numPr>
        <w:autoSpaceDE/>
        <w:autoSpaceDN/>
        <w:spacing w:after="0" w:line="276" w:lineRule="auto"/>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 xml:space="preserve">4 non-metropolitan municipalities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Kilis, the </w:t>
      </w:r>
      <w:r w:rsidR="003A3376" w:rsidRPr="004C53B6">
        <w:rPr>
          <w:rFonts w:ascii="Times New Roman" w:eastAsiaTheme="minorEastAsia" w:hAnsi="Times New Roman"/>
          <w:color w:val="000000" w:themeColor="text1"/>
          <w:spacing w:val="-2"/>
          <w:lang w:val="en-US" w:eastAsia="tr-TR"/>
        </w:rPr>
        <w:t>center</w:t>
      </w:r>
      <w:r w:rsidR="007D6D96" w:rsidRPr="004C53B6">
        <w:rPr>
          <w:rFonts w:ascii="Times New Roman" w:eastAsiaTheme="minorEastAsia" w:hAnsi="Times New Roman"/>
          <w:color w:val="000000" w:themeColor="text1"/>
          <w:spacing w:val="-2"/>
          <w:lang w:val="en-US" w:eastAsia="tr-TR"/>
        </w:rPr>
        <w:t xml:space="preserve"> municipality</w:t>
      </w:r>
      <w:r w:rsidRPr="004C53B6">
        <w:rPr>
          <w:rFonts w:ascii="Times New Roman" w:eastAsiaTheme="minorEastAsia" w:hAnsi="Times New Roman"/>
          <w:color w:val="000000" w:themeColor="text1"/>
          <w:spacing w:val="-2"/>
          <w:lang w:val="en-US" w:eastAsia="tr-TR"/>
        </w:rPr>
        <w:t xml:space="preserve"> of Adiyaman, the district municipalities of Elbeyli and Polateli located in the province of Kilis), which manage their water and wastewater services directly under their own management;</w:t>
      </w:r>
    </w:p>
    <w:p w14:paraId="72A39850" w14:textId="77777777" w:rsidR="0058306B" w:rsidRPr="004C53B6" w:rsidRDefault="0058306B" w:rsidP="004C53B6">
      <w:pPr>
        <w:pStyle w:val="GvdeMetniGirintisi"/>
        <w:widowControl/>
        <w:numPr>
          <w:ilvl w:val="0"/>
          <w:numId w:val="1"/>
        </w:numPr>
        <w:autoSpaceDE/>
        <w:autoSpaceDN/>
        <w:spacing w:line="276" w:lineRule="auto"/>
        <w:ind w:left="714" w:hanging="357"/>
        <w:jc w:val="both"/>
        <w:rPr>
          <w:color w:val="000000" w:themeColor="text1"/>
          <w:spacing w:val="-2"/>
          <w:lang w:val="en-US"/>
        </w:rPr>
      </w:pPr>
      <w:r w:rsidRPr="004C53B6">
        <w:rPr>
          <w:rFonts w:ascii="Times New Roman" w:eastAsiaTheme="minorEastAsia" w:hAnsi="Times New Roman"/>
          <w:color w:val="000000" w:themeColor="text1"/>
          <w:spacing w:val="-2"/>
          <w:lang w:val="en-US" w:eastAsia="tr-TR"/>
        </w:rPr>
        <w:t>2</w:t>
      </w:r>
      <w:r w:rsidR="00815FF8">
        <w:rPr>
          <w:rFonts w:ascii="Times New Roman" w:eastAsiaTheme="minorEastAsia" w:hAnsi="Times New Roman"/>
          <w:color w:val="000000" w:themeColor="text1"/>
          <w:spacing w:val="-2"/>
          <w:lang w:val="en-US" w:eastAsia="tr-TR"/>
        </w:rPr>
        <w:t xml:space="preserve"> </w:t>
      </w:r>
      <w:r w:rsidRPr="004C53B6">
        <w:rPr>
          <w:rFonts w:ascii="Times New Roman" w:eastAsiaTheme="minorEastAsia" w:hAnsi="Times New Roman"/>
          <w:color w:val="000000" w:themeColor="text1"/>
          <w:spacing w:val="-2"/>
          <w:lang w:val="en-US" w:eastAsia="tr-TR"/>
        </w:rPr>
        <w:t>metropolitan municipalities (Gaziantep and Şanlıurfa) for the solid waste management sub</w:t>
      </w:r>
      <w:r w:rsidR="00A77FB7" w:rsidRPr="004C53B6">
        <w:rPr>
          <w:rFonts w:ascii="Times New Roman" w:eastAsiaTheme="minorEastAsia" w:hAnsi="Times New Roman"/>
          <w:color w:val="000000" w:themeColor="text1"/>
          <w:spacing w:val="-2"/>
          <w:lang w:val="en-US" w:eastAsia="tr-TR"/>
        </w:rPr>
        <w:t>p</w:t>
      </w:r>
      <w:r w:rsidRPr="004C53B6">
        <w:rPr>
          <w:rFonts w:ascii="Times New Roman" w:eastAsiaTheme="minorEastAsia" w:hAnsi="Times New Roman"/>
          <w:color w:val="000000" w:themeColor="text1"/>
          <w:spacing w:val="-2"/>
          <w:lang w:val="en-US" w:eastAsia="tr-TR"/>
        </w:rPr>
        <w:t>rojects.</w:t>
      </w:r>
    </w:p>
    <w:p w14:paraId="091723E3" w14:textId="77777777" w:rsidR="0058306B" w:rsidRPr="003A3376" w:rsidRDefault="0058306B" w:rsidP="0058306B">
      <w:pPr>
        <w:spacing w:after="120" w:line="276" w:lineRule="auto"/>
        <w:jc w:val="both"/>
        <w:rPr>
          <w:sz w:val="22"/>
          <w:szCs w:val="22"/>
          <w:lang w:val="en-US"/>
        </w:rPr>
      </w:pPr>
      <w:r w:rsidRPr="003A3376">
        <w:rPr>
          <w:sz w:val="22"/>
          <w:szCs w:val="22"/>
          <w:lang w:val="en-US"/>
        </w:rPr>
        <w:t>ILBANK, a public bank dedicated to the financing of municipal infrastructures, assumes the role of technical and financial intermediary and the functions of project management assistance to the municipalities/SKI. ILBANK has signed a grant agreement with AFD to that end.</w:t>
      </w:r>
    </w:p>
    <w:p w14:paraId="57C86174" w14:textId="77777777" w:rsidR="00EB2B80" w:rsidRPr="003A3376" w:rsidRDefault="00EB2B80">
      <w:pPr>
        <w:spacing w:after="120" w:line="276" w:lineRule="auto"/>
        <w:jc w:val="both"/>
        <w:rPr>
          <w:sz w:val="22"/>
          <w:szCs w:val="22"/>
          <w:lang w:val="en-US"/>
        </w:rPr>
      </w:pPr>
      <w:r w:rsidRPr="003A3376">
        <w:rPr>
          <w:sz w:val="22"/>
          <w:szCs w:val="22"/>
          <w:lang w:val="en-US"/>
        </w:rPr>
        <w:t xml:space="preserve">The Primary Beneficiary and technical and financial </w:t>
      </w:r>
      <w:r w:rsidR="003A3376" w:rsidRPr="003A3376">
        <w:rPr>
          <w:sz w:val="22"/>
          <w:szCs w:val="22"/>
          <w:lang w:val="en-US"/>
        </w:rPr>
        <w:t>coordinator</w:t>
      </w:r>
      <w:r w:rsidRPr="003A3376">
        <w:rPr>
          <w:sz w:val="22"/>
          <w:szCs w:val="22"/>
          <w:lang w:val="en-US"/>
        </w:rPr>
        <w:t xml:space="preserve"> of the Project is ILBANK, which will act as the Financial Intermediary (FI) to transfer funds to participating municipalities or utilities in the selected provinces within the scope of Component 1 (investments); in addition, ILBANK will directly procure some tenders in relation with Components 2 and 3 (consultancy services such as audit of the project’s account, communication and visibility services and external supervision for works)</w:t>
      </w:r>
    </w:p>
    <w:p w14:paraId="3D4F7C80" w14:textId="77777777" w:rsidR="006A08B5" w:rsidRPr="003A3376" w:rsidRDefault="006A08B5" w:rsidP="0035275C">
      <w:pPr>
        <w:pStyle w:val="Balk1"/>
        <w:keepNext w:val="0"/>
        <w:keepLines w:val="0"/>
        <w:spacing w:before="0" w:after="120"/>
        <w:ind w:left="357" w:hanging="357"/>
        <w:jc w:val="both"/>
        <w:rPr>
          <w:rFonts w:ascii="Times New Roman" w:hAnsi="Times New Roman" w:cs="Times New Roman"/>
          <w:sz w:val="22"/>
          <w:szCs w:val="22"/>
          <w:lang w:val="en-US"/>
        </w:rPr>
      </w:pPr>
      <w:bookmarkStart w:id="3" w:name="_Toc515437646"/>
      <w:bookmarkStart w:id="4" w:name="_Toc515437648"/>
      <w:bookmarkStart w:id="5" w:name="_Toc142990956"/>
      <w:bookmarkStart w:id="6" w:name="_Toc142991517"/>
      <w:bookmarkStart w:id="7" w:name="_Toc142996201"/>
      <w:bookmarkStart w:id="8" w:name="_Toc146971640"/>
      <w:bookmarkStart w:id="9" w:name="_Toc147895870"/>
      <w:bookmarkStart w:id="10" w:name="_Toc147903386"/>
      <w:bookmarkStart w:id="11" w:name="_Toc148162967"/>
      <w:bookmarkStart w:id="12" w:name="_Toc148163013"/>
      <w:bookmarkStart w:id="13" w:name="_Toc148333464"/>
      <w:bookmarkStart w:id="14" w:name="_Toc515437655"/>
      <w:bookmarkStart w:id="15" w:name="_Toc515437658"/>
      <w:bookmarkStart w:id="16" w:name="_Toc151375333"/>
      <w:bookmarkStart w:id="17" w:name="_Toc151379452"/>
      <w:bookmarkStart w:id="18" w:name="_Toc151436943"/>
      <w:bookmarkStart w:id="19" w:name="_Toc151437370"/>
      <w:bookmarkStart w:id="20" w:name="_Toc151438505"/>
      <w:bookmarkStart w:id="21" w:name="_Toc151796109"/>
      <w:bookmarkStart w:id="22" w:name="_Toc151796965"/>
      <w:bookmarkStart w:id="23" w:name="_Toc151797809"/>
      <w:bookmarkStart w:id="24" w:name="_Toc515437660"/>
      <w:bookmarkStart w:id="25" w:name="_Toc515437663"/>
      <w:bookmarkStart w:id="26" w:name="_Toc515437665"/>
      <w:bookmarkStart w:id="27" w:name="_Toc515437667"/>
      <w:bookmarkStart w:id="28" w:name="_Toc515437669"/>
      <w:bookmarkStart w:id="29" w:name="_Toc515437679"/>
      <w:bookmarkStart w:id="30" w:name="_Toc515437682"/>
      <w:bookmarkStart w:id="31" w:name="_Toc515437692"/>
      <w:bookmarkStart w:id="32" w:name="_Toc515437695"/>
      <w:bookmarkStart w:id="33" w:name="_Toc515437696"/>
      <w:bookmarkStart w:id="34" w:name="_Toc515437700"/>
      <w:bookmarkStart w:id="35" w:name="_Toc515437703"/>
      <w:bookmarkStart w:id="36" w:name="_Toc151204174"/>
      <w:bookmarkStart w:id="37" w:name="_Toc151263734"/>
      <w:bookmarkStart w:id="38" w:name="_Toc151267720"/>
      <w:bookmarkStart w:id="39" w:name="_Toc151268495"/>
      <w:bookmarkStart w:id="40" w:name="_Toc151269236"/>
      <w:bookmarkStart w:id="41" w:name="_Toc151271151"/>
      <w:bookmarkStart w:id="42" w:name="_Toc151274460"/>
      <w:bookmarkStart w:id="43" w:name="_Toc151294538"/>
      <w:bookmarkStart w:id="44" w:name="_Toc151349599"/>
      <w:bookmarkStart w:id="45" w:name="_Toc151350018"/>
      <w:bookmarkStart w:id="46" w:name="_Toc151374427"/>
      <w:bookmarkStart w:id="47" w:name="_Toc151375341"/>
      <w:bookmarkStart w:id="48" w:name="_Toc151379460"/>
      <w:bookmarkStart w:id="49" w:name="_Toc151436951"/>
      <w:bookmarkStart w:id="50" w:name="_Toc151437378"/>
      <w:bookmarkStart w:id="51" w:name="_Toc151438513"/>
      <w:bookmarkStart w:id="52" w:name="_Toc151796117"/>
      <w:bookmarkStart w:id="53" w:name="_Toc151796973"/>
      <w:bookmarkStart w:id="54" w:name="_Toc151797817"/>
      <w:bookmarkStart w:id="55" w:name="_Toc151204176"/>
      <w:bookmarkStart w:id="56" w:name="_Toc151263736"/>
      <w:bookmarkStart w:id="57" w:name="_Toc151267722"/>
      <w:bookmarkStart w:id="58" w:name="_Toc151268497"/>
      <w:bookmarkStart w:id="59" w:name="_Toc151269238"/>
      <w:bookmarkStart w:id="60" w:name="_Toc151271153"/>
      <w:bookmarkStart w:id="61" w:name="_Toc151274462"/>
      <w:bookmarkStart w:id="62" w:name="_Toc151294540"/>
      <w:bookmarkStart w:id="63" w:name="_Toc151349601"/>
      <w:bookmarkStart w:id="64" w:name="_Toc151350020"/>
      <w:bookmarkStart w:id="65" w:name="_Toc151204177"/>
      <w:bookmarkStart w:id="66" w:name="_Toc151263737"/>
      <w:bookmarkStart w:id="67" w:name="_Toc151267723"/>
      <w:bookmarkStart w:id="68" w:name="_Toc151268498"/>
      <w:bookmarkStart w:id="69" w:name="_Toc151269239"/>
      <w:bookmarkStart w:id="70" w:name="_Toc151271154"/>
      <w:bookmarkStart w:id="71" w:name="_Toc151274463"/>
      <w:bookmarkStart w:id="72" w:name="_Toc151291545"/>
      <w:bookmarkStart w:id="73" w:name="_Toc151291582"/>
      <w:bookmarkStart w:id="74" w:name="_Toc151294541"/>
      <w:bookmarkStart w:id="75" w:name="_Toc151349602"/>
      <w:bookmarkStart w:id="76" w:name="_Toc151350021"/>
      <w:bookmarkStart w:id="77" w:name="_Toc151374429"/>
      <w:bookmarkStart w:id="78" w:name="_Toc151375343"/>
      <w:bookmarkStart w:id="79" w:name="_Toc151379462"/>
      <w:bookmarkStart w:id="80" w:name="_Toc151436953"/>
      <w:bookmarkStart w:id="81" w:name="_Toc151437380"/>
      <w:bookmarkStart w:id="82" w:name="_Toc151438515"/>
      <w:bookmarkStart w:id="83" w:name="_Toc151796119"/>
      <w:bookmarkStart w:id="84" w:name="_Toc151796975"/>
      <w:bookmarkStart w:id="85" w:name="_Toc151797819"/>
      <w:bookmarkStart w:id="86" w:name="_Toc151204179"/>
      <w:bookmarkStart w:id="87" w:name="_Toc151263739"/>
      <w:bookmarkStart w:id="88" w:name="_Toc151267725"/>
      <w:bookmarkStart w:id="89" w:name="_Toc151268500"/>
      <w:bookmarkStart w:id="90" w:name="_Toc151269241"/>
      <w:bookmarkStart w:id="91" w:name="_Toc151271156"/>
      <w:bookmarkStart w:id="92" w:name="_Toc151274465"/>
      <w:bookmarkStart w:id="93" w:name="_Toc151294543"/>
      <w:bookmarkStart w:id="94" w:name="_Toc151349604"/>
      <w:bookmarkStart w:id="95" w:name="_Toc151350023"/>
      <w:bookmarkStart w:id="96" w:name="_Toc151204180"/>
      <w:bookmarkStart w:id="97" w:name="_Toc151263740"/>
      <w:bookmarkStart w:id="98" w:name="_Toc151267726"/>
      <w:bookmarkStart w:id="99" w:name="_Toc151268501"/>
      <w:bookmarkStart w:id="100" w:name="_Toc151269242"/>
      <w:bookmarkStart w:id="101" w:name="_Toc151271157"/>
      <w:bookmarkStart w:id="102" w:name="_Toc151274466"/>
      <w:bookmarkStart w:id="103" w:name="_Toc151291548"/>
      <w:bookmarkStart w:id="104" w:name="_Toc151291585"/>
      <w:bookmarkStart w:id="105" w:name="_Toc151294544"/>
      <w:bookmarkStart w:id="106" w:name="_Toc151349605"/>
      <w:bookmarkStart w:id="107" w:name="_Toc151350024"/>
      <w:bookmarkStart w:id="108" w:name="_Toc151374431"/>
      <w:bookmarkStart w:id="109" w:name="_Toc151375345"/>
      <w:bookmarkStart w:id="110" w:name="_Toc151379464"/>
      <w:bookmarkStart w:id="111" w:name="_Toc151436955"/>
      <w:bookmarkStart w:id="112" w:name="_Toc151437382"/>
      <w:bookmarkStart w:id="113" w:name="_Toc151438517"/>
      <w:bookmarkStart w:id="114" w:name="_Toc151796121"/>
      <w:bookmarkStart w:id="115" w:name="_Toc151796977"/>
      <w:bookmarkStart w:id="116" w:name="_Toc151797821"/>
      <w:bookmarkStart w:id="117" w:name="_Toc515437711"/>
      <w:bookmarkStart w:id="118" w:name="_Toc139878889"/>
      <w:bookmarkStart w:id="119" w:name="_Toc139878953"/>
      <w:bookmarkStart w:id="120" w:name="_Toc139878893"/>
      <w:bookmarkStart w:id="121" w:name="_Toc139878957"/>
      <w:bookmarkStart w:id="122" w:name="_Toc139878897"/>
      <w:bookmarkStart w:id="123" w:name="_Toc139878961"/>
      <w:bookmarkStart w:id="124" w:name="_Toc515437719"/>
      <w:bookmarkStart w:id="125" w:name="_Toc142968213"/>
      <w:bookmarkStart w:id="126" w:name="_Information_sur_les"/>
      <w:bookmarkStart w:id="127" w:name="_Information_sur_les_1"/>
      <w:bookmarkStart w:id="128" w:name="_Toc515437722"/>
      <w:bookmarkStart w:id="129" w:name="_Toc515437723"/>
      <w:bookmarkStart w:id="130" w:name="_Toc515437725"/>
      <w:bookmarkStart w:id="131" w:name="_Toc515437727"/>
      <w:bookmarkStart w:id="132" w:name="_Toc515437731"/>
      <w:bookmarkStart w:id="133" w:name="_Toc515437733"/>
      <w:bookmarkStart w:id="134" w:name="_Liste_des_documents"/>
      <w:bookmarkStart w:id="135" w:name="_Liste_des_documents_1"/>
      <w:bookmarkStart w:id="136" w:name="_Toc515437736"/>
      <w:bookmarkStart w:id="137" w:name="_Toc515437738"/>
      <w:bookmarkStart w:id="138" w:name="_Toc515437739"/>
      <w:bookmarkStart w:id="139" w:name="_Toc515437748"/>
      <w:bookmarkStart w:id="140" w:name="_Toc5154377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A3376">
        <w:rPr>
          <w:rFonts w:ascii="Times New Roman" w:hAnsi="Times New Roman" w:cs="Times New Roman"/>
          <w:sz w:val="22"/>
          <w:szCs w:val="22"/>
          <w:lang w:val="en-US"/>
        </w:rPr>
        <w:t>COST AND FINANCING</w:t>
      </w:r>
    </w:p>
    <w:p w14:paraId="2D6820C7" w14:textId="77777777" w:rsidR="006A08B5" w:rsidRPr="003A3376" w:rsidRDefault="006A08B5" w:rsidP="0035275C">
      <w:pPr>
        <w:spacing w:after="120" w:line="276" w:lineRule="auto"/>
        <w:jc w:val="both"/>
        <w:rPr>
          <w:sz w:val="22"/>
          <w:szCs w:val="22"/>
          <w:lang w:val="en-US"/>
        </w:rPr>
      </w:pPr>
      <w:r w:rsidRPr="003A3376">
        <w:rPr>
          <w:sz w:val="22"/>
          <w:szCs w:val="22"/>
          <w:lang w:val="en-US"/>
        </w:rPr>
        <w:t xml:space="preserve">The Project is financed exclusively by a grant, delegated to AFD </w:t>
      </w:r>
      <w:r w:rsidR="0058306B" w:rsidRPr="003A3376">
        <w:rPr>
          <w:sz w:val="22"/>
          <w:szCs w:val="22"/>
          <w:lang w:val="en-US"/>
        </w:rPr>
        <w:t>by the European Commission under the FR</w:t>
      </w:r>
      <w:r w:rsidR="00DA1A83">
        <w:rPr>
          <w:sz w:val="22"/>
          <w:szCs w:val="22"/>
          <w:lang w:val="en-US"/>
        </w:rPr>
        <w:t>i</w:t>
      </w:r>
      <w:r w:rsidR="0058306B" w:rsidRPr="003A3376">
        <w:rPr>
          <w:sz w:val="22"/>
          <w:szCs w:val="22"/>
          <w:lang w:val="en-US"/>
        </w:rPr>
        <w:t>T</w:t>
      </w:r>
      <w:r w:rsidR="007D6D96">
        <w:rPr>
          <w:sz w:val="22"/>
          <w:szCs w:val="22"/>
          <w:lang w:val="en-US"/>
        </w:rPr>
        <w:t>-II</w:t>
      </w:r>
      <w:r w:rsidR="0058306B" w:rsidRPr="003A3376">
        <w:rPr>
          <w:sz w:val="22"/>
          <w:szCs w:val="22"/>
          <w:lang w:val="en-US"/>
        </w:rPr>
        <w:t xml:space="preserve">. </w:t>
      </w:r>
      <w:r w:rsidRPr="003A3376">
        <w:rPr>
          <w:sz w:val="22"/>
          <w:szCs w:val="22"/>
          <w:lang w:val="en-US"/>
        </w:rPr>
        <w:t xml:space="preserve"> </w:t>
      </w:r>
      <w:r w:rsidR="0058306B" w:rsidRPr="003A3376">
        <w:rPr>
          <w:sz w:val="22"/>
          <w:szCs w:val="22"/>
          <w:lang w:val="en-US"/>
        </w:rPr>
        <w:t xml:space="preserve">ILBANK, AFD and the European Commission have agreed to extend the scope of the Project. An Amendment </w:t>
      </w:r>
      <w:r w:rsidR="003A3376">
        <w:rPr>
          <w:sz w:val="22"/>
          <w:szCs w:val="22"/>
          <w:lang w:val="en-US"/>
        </w:rPr>
        <w:t>N</w:t>
      </w:r>
      <w:r w:rsidR="0058306B" w:rsidRPr="003A3376">
        <w:rPr>
          <w:sz w:val="22"/>
          <w:szCs w:val="22"/>
          <w:lang w:val="en-US"/>
        </w:rPr>
        <w:t xml:space="preserve">°1 to the Contribution Agreement between the Commission and the Agency was </w:t>
      </w:r>
      <w:r w:rsidR="00310797">
        <w:rPr>
          <w:sz w:val="22"/>
          <w:szCs w:val="22"/>
          <w:lang w:val="en-US"/>
        </w:rPr>
        <w:t>signed on 20th December 2020</w:t>
      </w:r>
      <w:r w:rsidR="0058306B" w:rsidRPr="003A3376">
        <w:rPr>
          <w:sz w:val="22"/>
          <w:szCs w:val="22"/>
          <w:lang w:val="en-US"/>
        </w:rPr>
        <w:t>. Also with an AFD Loan in the amount of EUR 63 Million, the total budget is EUR 277.82 million.</w:t>
      </w:r>
    </w:p>
    <w:p w14:paraId="0EBE49D0" w14:textId="77777777" w:rsidR="006A08B5" w:rsidRPr="003A3376" w:rsidRDefault="006A08B5" w:rsidP="0035275C">
      <w:pPr>
        <w:spacing w:after="120" w:line="276" w:lineRule="auto"/>
        <w:rPr>
          <w:rStyle w:val="Kpr"/>
          <w:sz w:val="22"/>
          <w:szCs w:val="22"/>
          <w:lang w:val="en-US"/>
        </w:rPr>
      </w:pPr>
    </w:p>
    <w:p w14:paraId="35226A09" w14:textId="77777777" w:rsidR="0072144E" w:rsidRPr="003A3376" w:rsidRDefault="0072144E" w:rsidP="0035275C">
      <w:pPr>
        <w:spacing w:after="120" w:line="276" w:lineRule="auto"/>
        <w:rPr>
          <w:rStyle w:val="Kpr"/>
          <w:sz w:val="22"/>
          <w:szCs w:val="22"/>
          <w:lang w:val="en-US"/>
        </w:rPr>
      </w:pPr>
    </w:p>
    <w:p w14:paraId="044A9AF6" w14:textId="77777777" w:rsidR="0072144E" w:rsidRPr="003A3376" w:rsidRDefault="0072144E" w:rsidP="0035275C">
      <w:pPr>
        <w:spacing w:after="120" w:line="276" w:lineRule="auto"/>
        <w:rPr>
          <w:rStyle w:val="Kpr"/>
          <w:sz w:val="22"/>
          <w:szCs w:val="22"/>
          <w:lang w:val="en-US"/>
        </w:rPr>
      </w:pPr>
    </w:p>
    <w:p w14:paraId="3D2791FB" w14:textId="77777777" w:rsidR="0072144E" w:rsidRPr="003A3376" w:rsidRDefault="0072144E" w:rsidP="0035275C">
      <w:pPr>
        <w:spacing w:after="120" w:line="276" w:lineRule="auto"/>
        <w:rPr>
          <w:rStyle w:val="Kpr"/>
          <w:sz w:val="22"/>
          <w:szCs w:val="22"/>
          <w:lang w:val="en-US"/>
        </w:rPr>
      </w:pPr>
    </w:p>
    <w:p w14:paraId="32181005" w14:textId="77777777" w:rsidR="00BF3DDF" w:rsidRPr="003A3376" w:rsidRDefault="00BF3DDF">
      <w:pPr>
        <w:spacing w:after="160" w:line="259" w:lineRule="auto"/>
        <w:rPr>
          <w:rStyle w:val="Kpr"/>
          <w:sz w:val="22"/>
          <w:szCs w:val="22"/>
          <w:lang w:val="en-US"/>
        </w:rPr>
      </w:pPr>
      <w:r w:rsidRPr="003A3376">
        <w:rPr>
          <w:rStyle w:val="Kpr"/>
          <w:sz w:val="22"/>
          <w:szCs w:val="22"/>
          <w:lang w:val="en-US"/>
        </w:rPr>
        <w:br w:type="page"/>
      </w:r>
    </w:p>
    <w:p w14:paraId="602B4E61" w14:textId="77777777" w:rsidR="0072144E" w:rsidRPr="003A3376" w:rsidRDefault="0072144E" w:rsidP="0035275C">
      <w:pPr>
        <w:pStyle w:val="Balk5"/>
        <w:spacing w:before="0" w:after="120"/>
        <w:jc w:val="both"/>
        <w:rPr>
          <w:rFonts w:ascii="Times New Roman" w:hAnsi="Times New Roman" w:cs="Times New Roman"/>
          <w:b/>
          <w:caps/>
          <w:u w:val="single"/>
          <w:lang w:val="en-US"/>
        </w:rPr>
      </w:pPr>
      <w:r w:rsidRPr="00EB7E0B">
        <w:rPr>
          <w:rFonts w:ascii="Times New Roman" w:hAnsi="Times New Roman" w:cs="Times New Roman"/>
          <w:b/>
          <w:caps/>
          <w:u w:val="single"/>
          <w:lang w:val="en-US"/>
        </w:rPr>
        <w:lastRenderedPageBreak/>
        <w:t>A</w:t>
      </w:r>
      <w:r w:rsidR="006A08B5" w:rsidRPr="003A3376">
        <w:rPr>
          <w:rFonts w:ascii="Times New Roman" w:hAnsi="Times New Roman" w:cs="Times New Roman"/>
          <w:b/>
          <w:caps/>
          <w:u w:val="single"/>
          <w:lang w:val="en-US"/>
        </w:rPr>
        <w:t>PPENDIX</w:t>
      </w:r>
      <w:r w:rsidRPr="003A3376">
        <w:rPr>
          <w:rFonts w:ascii="Times New Roman" w:hAnsi="Times New Roman" w:cs="Times New Roman"/>
          <w:b/>
          <w:caps/>
          <w:u w:val="single"/>
          <w:lang w:val="en-US"/>
        </w:rPr>
        <w:t xml:space="preserve"> </w:t>
      </w:r>
      <w:r w:rsidR="006A08B5" w:rsidRPr="003A3376">
        <w:rPr>
          <w:rFonts w:ascii="Times New Roman" w:hAnsi="Times New Roman" w:cs="Times New Roman"/>
          <w:b/>
          <w:caps/>
          <w:u w:val="single"/>
          <w:lang w:val="en-US"/>
        </w:rPr>
        <w:t>I</w:t>
      </w:r>
      <w:r w:rsidRPr="003A3376">
        <w:rPr>
          <w:rFonts w:ascii="Times New Roman" w:hAnsi="Times New Roman" w:cs="Times New Roman"/>
          <w:b/>
          <w:caps/>
          <w:u w:val="single"/>
          <w:lang w:val="en-US"/>
        </w:rPr>
        <w:t xml:space="preserve">I </w:t>
      </w:r>
      <w:r w:rsidR="006A08B5" w:rsidRPr="003A3376">
        <w:rPr>
          <w:rFonts w:ascii="Times New Roman" w:hAnsi="Times New Roman" w:cs="Times New Roman"/>
          <w:b/>
          <w:caps/>
          <w:u w:val="single"/>
          <w:lang w:val="en-US"/>
        </w:rPr>
        <w:t xml:space="preserve">: FORM OF </w:t>
      </w:r>
      <w:r w:rsidRPr="003A3376">
        <w:rPr>
          <w:rFonts w:ascii="Times New Roman" w:hAnsi="Times New Roman" w:cs="Times New Roman"/>
          <w:b/>
          <w:caps/>
          <w:u w:val="single"/>
          <w:lang w:val="en-US"/>
        </w:rPr>
        <w:t>CURRICULUM VITAE</w:t>
      </w:r>
    </w:p>
    <w:p w14:paraId="786AD2C6" w14:textId="77777777" w:rsidR="0072144E" w:rsidRPr="003A3376" w:rsidRDefault="0072144E" w:rsidP="0072144E">
      <w:pPr>
        <w:tabs>
          <w:tab w:val="left" w:pos="3402"/>
        </w:tabs>
        <w:jc w:val="center"/>
        <w:rPr>
          <w:sz w:val="22"/>
          <w:szCs w:val="22"/>
          <w:lang w:val="en-US"/>
        </w:rPr>
      </w:pPr>
    </w:p>
    <w:tbl>
      <w:tblPr>
        <w:tblW w:w="0" w:type="auto"/>
        <w:tblLook w:val="01E0" w:firstRow="1" w:lastRow="1" w:firstColumn="1" w:lastColumn="1" w:noHBand="0" w:noVBand="0"/>
      </w:tblPr>
      <w:tblGrid>
        <w:gridCol w:w="1526"/>
        <w:gridCol w:w="1141"/>
        <w:gridCol w:w="290"/>
        <w:gridCol w:w="6096"/>
      </w:tblGrid>
      <w:tr w:rsidR="0072144E" w:rsidRPr="003A3376" w14:paraId="3C336D7C" w14:textId="77777777" w:rsidTr="00007F72">
        <w:tc>
          <w:tcPr>
            <w:tcW w:w="2667" w:type="dxa"/>
            <w:gridSpan w:val="2"/>
          </w:tcPr>
          <w:p w14:paraId="3524F994"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Name of Staff</w:t>
            </w:r>
          </w:p>
        </w:tc>
        <w:tc>
          <w:tcPr>
            <w:tcW w:w="290" w:type="dxa"/>
          </w:tcPr>
          <w:p w14:paraId="6687822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7798CE6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1C1EFF04" w14:textId="77777777" w:rsidTr="00007F72">
        <w:tc>
          <w:tcPr>
            <w:tcW w:w="2667" w:type="dxa"/>
            <w:gridSpan w:val="2"/>
          </w:tcPr>
          <w:p w14:paraId="1BFBF1B6"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Profession</w:t>
            </w:r>
          </w:p>
        </w:tc>
        <w:tc>
          <w:tcPr>
            <w:tcW w:w="290" w:type="dxa"/>
          </w:tcPr>
          <w:p w14:paraId="2B74876B"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7BE578" w14:textId="77777777" w:rsidR="0072144E" w:rsidRPr="003A3376" w:rsidRDefault="0072144E" w:rsidP="00916196">
            <w:pPr>
              <w:tabs>
                <w:tab w:val="left" w:pos="3402"/>
              </w:tabs>
              <w:spacing w:before="60" w:after="60"/>
              <w:jc w:val="both"/>
              <w:rPr>
                <w:sz w:val="22"/>
                <w:szCs w:val="22"/>
                <w:lang w:val="en-US"/>
              </w:rPr>
            </w:pPr>
          </w:p>
        </w:tc>
      </w:tr>
      <w:tr w:rsidR="0072144E" w:rsidRPr="003A3376" w14:paraId="7E388291" w14:textId="77777777" w:rsidTr="00007F72">
        <w:tc>
          <w:tcPr>
            <w:tcW w:w="2667" w:type="dxa"/>
            <w:gridSpan w:val="2"/>
          </w:tcPr>
          <w:p w14:paraId="41911E52"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 Address</w:t>
            </w:r>
          </w:p>
        </w:tc>
        <w:tc>
          <w:tcPr>
            <w:tcW w:w="290" w:type="dxa"/>
          </w:tcPr>
          <w:p w14:paraId="774510F8"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2FA8EA7D"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CB13939" w14:textId="77777777" w:rsidTr="00007F72">
        <w:tc>
          <w:tcPr>
            <w:tcW w:w="1526" w:type="dxa"/>
            <w:vMerge w:val="restart"/>
          </w:tcPr>
          <w:p w14:paraId="58F5E79D" w14:textId="77777777" w:rsidR="0072144E" w:rsidRPr="003A3376" w:rsidRDefault="0072144E" w:rsidP="00916196">
            <w:pPr>
              <w:tabs>
                <w:tab w:val="left" w:pos="3402"/>
              </w:tabs>
              <w:spacing w:before="60" w:after="60"/>
              <w:rPr>
                <w:sz w:val="22"/>
                <w:szCs w:val="22"/>
                <w:lang w:val="en-US"/>
              </w:rPr>
            </w:pPr>
            <w:r w:rsidRPr="003A3376">
              <w:rPr>
                <w:b/>
                <w:sz w:val="22"/>
                <w:szCs w:val="22"/>
                <w:lang w:val="en-US"/>
              </w:rPr>
              <w:t xml:space="preserve">Phone </w:t>
            </w:r>
          </w:p>
        </w:tc>
        <w:tc>
          <w:tcPr>
            <w:tcW w:w="1141" w:type="dxa"/>
          </w:tcPr>
          <w:p w14:paraId="6CC36473"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home</w:t>
            </w:r>
          </w:p>
        </w:tc>
        <w:tc>
          <w:tcPr>
            <w:tcW w:w="290" w:type="dxa"/>
          </w:tcPr>
          <w:p w14:paraId="1EF177A1"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30872C0A" w14:textId="77777777" w:rsidR="0072144E" w:rsidRPr="003A3376" w:rsidRDefault="0072144E" w:rsidP="00916196">
            <w:pPr>
              <w:tabs>
                <w:tab w:val="left" w:pos="3402"/>
              </w:tabs>
              <w:spacing w:before="60" w:after="60"/>
              <w:jc w:val="both"/>
              <w:rPr>
                <w:sz w:val="22"/>
                <w:szCs w:val="22"/>
                <w:lang w:val="en-US"/>
              </w:rPr>
            </w:pPr>
          </w:p>
        </w:tc>
      </w:tr>
      <w:tr w:rsidR="0072144E" w:rsidRPr="003A3376" w14:paraId="4AF26A4C" w14:textId="77777777" w:rsidTr="00007F72">
        <w:tc>
          <w:tcPr>
            <w:tcW w:w="1526" w:type="dxa"/>
            <w:vMerge/>
          </w:tcPr>
          <w:p w14:paraId="45ED2562" w14:textId="77777777" w:rsidR="0072144E" w:rsidRPr="003A3376" w:rsidRDefault="0072144E" w:rsidP="00916196">
            <w:pPr>
              <w:tabs>
                <w:tab w:val="left" w:pos="3402"/>
              </w:tabs>
              <w:spacing w:before="60" w:after="60"/>
              <w:jc w:val="both"/>
              <w:rPr>
                <w:sz w:val="22"/>
                <w:szCs w:val="22"/>
                <w:lang w:val="en-US"/>
              </w:rPr>
            </w:pPr>
          </w:p>
        </w:tc>
        <w:tc>
          <w:tcPr>
            <w:tcW w:w="1141" w:type="dxa"/>
          </w:tcPr>
          <w:p w14:paraId="35C00D19"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mobile</w:t>
            </w:r>
          </w:p>
        </w:tc>
        <w:tc>
          <w:tcPr>
            <w:tcW w:w="290" w:type="dxa"/>
          </w:tcPr>
          <w:p w14:paraId="23C35286"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17419B60" w14:textId="77777777" w:rsidR="0072144E" w:rsidRPr="003A3376" w:rsidRDefault="0072144E" w:rsidP="00916196">
            <w:pPr>
              <w:tabs>
                <w:tab w:val="left" w:pos="3402"/>
              </w:tabs>
              <w:spacing w:before="60" w:after="60"/>
              <w:jc w:val="both"/>
              <w:rPr>
                <w:sz w:val="22"/>
                <w:szCs w:val="22"/>
                <w:lang w:val="en-US"/>
              </w:rPr>
            </w:pPr>
          </w:p>
        </w:tc>
      </w:tr>
      <w:tr w:rsidR="0072144E" w:rsidRPr="003A3376" w14:paraId="54B7C9AD" w14:textId="77777777" w:rsidTr="00007F72">
        <w:tc>
          <w:tcPr>
            <w:tcW w:w="2667" w:type="dxa"/>
            <w:gridSpan w:val="2"/>
          </w:tcPr>
          <w:p w14:paraId="50E4B6D5" w14:textId="77777777" w:rsidR="0072144E" w:rsidRPr="003A3376" w:rsidRDefault="0072144E" w:rsidP="00916196">
            <w:pPr>
              <w:tabs>
                <w:tab w:val="left" w:pos="3402"/>
              </w:tabs>
              <w:spacing w:before="60" w:after="60"/>
              <w:jc w:val="both"/>
              <w:rPr>
                <w:sz w:val="22"/>
                <w:szCs w:val="22"/>
                <w:lang w:val="en-US"/>
              </w:rPr>
            </w:pPr>
            <w:r w:rsidRPr="003A3376">
              <w:rPr>
                <w:b/>
                <w:sz w:val="22"/>
                <w:szCs w:val="22"/>
                <w:lang w:val="en-US"/>
              </w:rPr>
              <w:t>E-Mail</w:t>
            </w:r>
          </w:p>
        </w:tc>
        <w:tc>
          <w:tcPr>
            <w:tcW w:w="290" w:type="dxa"/>
          </w:tcPr>
          <w:p w14:paraId="7146DF5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6F233BE" w14:textId="77777777" w:rsidR="0072144E" w:rsidRPr="003A3376" w:rsidRDefault="0072144E" w:rsidP="00916196">
            <w:pPr>
              <w:tabs>
                <w:tab w:val="left" w:pos="3402"/>
              </w:tabs>
              <w:spacing w:before="60" w:after="60"/>
              <w:jc w:val="both"/>
              <w:rPr>
                <w:sz w:val="22"/>
                <w:szCs w:val="22"/>
                <w:lang w:val="en-US"/>
              </w:rPr>
            </w:pPr>
          </w:p>
        </w:tc>
      </w:tr>
      <w:tr w:rsidR="0072144E" w:rsidRPr="003A3376" w14:paraId="0D7F5F6D" w14:textId="77777777" w:rsidTr="00007F72">
        <w:tc>
          <w:tcPr>
            <w:tcW w:w="2667" w:type="dxa"/>
            <w:gridSpan w:val="2"/>
          </w:tcPr>
          <w:p w14:paraId="29C0E0E5" w14:textId="77777777" w:rsidR="0072144E" w:rsidRPr="003A3376" w:rsidRDefault="0072144E" w:rsidP="00BE5D91">
            <w:pPr>
              <w:tabs>
                <w:tab w:val="left" w:pos="3402"/>
              </w:tabs>
              <w:spacing w:before="60" w:after="60"/>
              <w:rPr>
                <w:b/>
                <w:sz w:val="22"/>
                <w:szCs w:val="22"/>
                <w:lang w:val="en-US"/>
              </w:rPr>
            </w:pPr>
            <w:r w:rsidRPr="003A3376">
              <w:rPr>
                <w:b/>
                <w:sz w:val="22"/>
                <w:szCs w:val="22"/>
                <w:lang w:val="en-US"/>
              </w:rPr>
              <w:t>POSITION APPLIED</w:t>
            </w:r>
            <w:r w:rsidR="00BC58A6" w:rsidRPr="003A3376">
              <w:rPr>
                <w:b/>
                <w:sz w:val="22"/>
                <w:szCs w:val="22"/>
                <w:lang w:val="en-US"/>
              </w:rPr>
              <w:t xml:space="preserve"> (name and ref. number)</w:t>
            </w:r>
          </w:p>
        </w:tc>
        <w:tc>
          <w:tcPr>
            <w:tcW w:w="290" w:type="dxa"/>
          </w:tcPr>
          <w:p w14:paraId="67806C02" w14:textId="77777777" w:rsidR="0072144E" w:rsidRPr="003A3376" w:rsidRDefault="0072144E" w:rsidP="00916196">
            <w:pPr>
              <w:tabs>
                <w:tab w:val="left" w:pos="3402"/>
              </w:tabs>
              <w:spacing w:before="60" w:after="60"/>
              <w:jc w:val="center"/>
              <w:rPr>
                <w:b/>
                <w:sz w:val="22"/>
                <w:szCs w:val="22"/>
                <w:lang w:val="en-US"/>
              </w:rPr>
            </w:pPr>
            <w:r w:rsidRPr="003A3376">
              <w:rPr>
                <w:b/>
                <w:sz w:val="22"/>
                <w:szCs w:val="22"/>
                <w:lang w:val="en-US"/>
              </w:rPr>
              <w:t>:</w:t>
            </w:r>
          </w:p>
        </w:tc>
        <w:tc>
          <w:tcPr>
            <w:tcW w:w="6096" w:type="dxa"/>
          </w:tcPr>
          <w:p w14:paraId="44BC791E" w14:textId="77777777" w:rsidR="0072144E" w:rsidRPr="003A3376" w:rsidRDefault="0072144E" w:rsidP="00916196">
            <w:pPr>
              <w:tabs>
                <w:tab w:val="left" w:pos="3402"/>
              </w:tabs>
              <w:spacing w:before="60" w:after="60"/>
              <w:jc w:val="both"/>
              <w:rPr>
                <w:sz w:val="22"/>
                <w:szCs w:val="22"/>
                <w:lang w:val="en-US"/>
              </w:rPr>
            </w:pPr>
          </w:p>
        </w:tc>
      </w:tr>
    </w:tbl>
    <w:p w14:paraId="6A7C7ECF" w14:textId="77777777" w:rsidR="0072144E" w:rsidRPr="003A3376" w:rsidRDefault="0072144E" w:rsidP="0072144E">
      <w:pPr>
        <w:tabs>
          <w:tab w:val="left" w:pos="3402"/>
          <w:tab w:val="left" w:pos="3969"/>
        </w:tabs>
        <w:jc w:val="both"/>
        <w:rPr>
          <w:sz w:val="22"/>
          <w:szCs w:val="22"/>
          <w:lang w:val="en-US"/>
        </w:rPr>
      </w:pPr>
    </w:p>
    <w:p w14:paraId="4519BD7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KEY QUALIFICATIONS</w:t>
      </w:r>
    </w:p>
    <w:p w14:paraId="07865826" w14:textId="77777777" w:rsidR="0072144E" w:rsidRPr="003A3376" w:rsidRDefault="0072144E" w:rsidP="0072144E">
      <w:pPr>
        <w:tabs>
          <w:tab w:val="left" w:pos="3402"/>
          <w:tab w:val="left" w:pos="3969"/>
        </w:tabs>
        <w:jc w:val="both"/>
        <w:rPr>
          <w:sz w:val="22"/>
          <w:szCs w:val="22"/>
          <w:lang w:val="en-US"/>
        </w:rPr>
      </w:pPr>
    </w:p>
    <w:p w14:paraId="47F05C15" w14:textId="77777777" w:rsidR="0072144E" w:rsidRPr="003A3376" w:rsidRDefault="0072144E" w:rsidP="0072144E">
      <w:pPr>
        <w:tabs>
          <w:tab w:val="left" w:pos="3402"/>
          <w:tab w:val="left" w:pos="3969"/>
        </w:tabs>
        <w:jc w:val="both"/>
        <w:rPr>
          <w:sz w:val="22"/>
          <w:szCs w:val="22"/>
          <w:lang w:val="en-US"/>
        </w:rPr>
      </w:pPr>
      <w:r w:rsidRPr="003A3376">
        <w:rPr>
          <w:sz w:val="22"/>
          <w:szCs w:val="22"/>
          <w:lang w:val="en-US"/>
        </w:rPr>
        <w:t>Specific experience in:</w:t>
      </w:r>
    </w:p>
    <w:p w14:paraId="6B0966E5" w14:textId="77777777" w:rsidR="0072144E" w:rsidRPr="003A3376" w:rsidRDefault="0072144E" w:rsidP="0072144E">
      <w:pPr>
        <w:numPr>
          <w:ilvl w:val="0"/>
          <w:numId w:val="3"/>
        </w:numPr>
        <w:tabs>
          <w:tab w:val="left" w:pos="3402"/>
          <w:tab w:val="left" w:pos="3969"/>
        </w:tabs>
        <w:jc w:val="both"/>
        <w:rPr>
          <w:sz w:val="22"/>
          <w:szCs w:val="22"/>
          <w:lang w:val="en-US"/>
        </w:rPr>
      </w:pPr>
    </w:p>
    <w:p w14:paraId="62BD5427" w14:textId="77777777" w:rsidR="0072144E" w:rsidRPr="003A3376" w:rsidRDefault="0072144E" w:rsidP="0072144E">
      <w:pPr>
        <w:numPr>
          <w:ilvl w:val="0"/>
          <w:numId w:val="3"/>
        </w:numPr>
        <w:tabs>
          <w:tab w:val="left" w:pos="3402"/>
          <w:tab w:val="left" w:pos="3969"/>
        </w:tabs>
        <w:jc w:val="both"/>
        <w:rPr>
          <w:sz w:val="22"/>
          <w:szCs w:val="22"/>
          <w:lang w:val="en-US"/>
        </w:rPr>
      </w:pPr>
    </w:p>
    <w:p w14:paraId="14524AD7" w14:textId="77777777" w:rsidR="0072144E" w:rsidRPr="003A3376" w:rsidRDefault="0072144E" w:rsidP="0072144E">
      <w:pPr>
        <w:numPr>
          <w:ilvl w:val="0"/>
          <w:numId w:val="3"/>
        </w:numPr>
        <w:tabs>
          <w:tab w:val="left" w:pos="3402"/>
          <w:tab w:val="left" w:pos="3969"/>
        </w:tabs>
        <w:jc w:val="both"/>
        <w:rPr>
          <w:sz w:val="22"/>
          <w:szCs w:val="22"/>
          <w:lang w:val="en-US"/>
        </w:rPr>
      </w:pPr>
    </w:p>
    <w:p w14:paraId="340DD872" w14:textId="77777777" w:rsidR="0072144E" w:rsidRPr="003A3376" w:rsidRDefault="0072144E" w:rsidP="0072144E">
      <w:pPr>
        <w:tabs>
          <w:tab w:val="left" w:pos="3402"/>
          <w:tab w:val="left" w:pos="3969"/>
        </w:tabs>
        <w:jc w:val="both"/>
        <w:rPr>
          <w:b/>
          <w:sz w:val="22"/>
          <w:szCs w:val="22"/>
          <w:lang w:val="en-US"/>
        </w:rPr>
      </w:pPr>
    </w:p>
    <w:p w14:paraId="12356C0D"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EDUCATIONAL BACKGROUND</w:t>
      </w:r>
    </w:p>
    <w:p w14:paraId="267EF203" w14:textId="77777777" w:rsidR="0072144E" w:rsidRPr="003A3376" w:rsidRDefault="0072144E" w:rsidP="0072144E">
      <w:pPr>
        <w:numPr>
          <w:ilvl w:val="0"/>
          <w:numId w:val="3"/>
        </w:numPr>
        <w:tabs>
          <w:tab w:val="left" w:pos="3402"/>
          <w:tab w:val="left" w:pos="3969"/>
        </w:tabs>
        <w:jc w:val="both"/>
        <w:rPr>
          <w:b/>
          <w:sz w:val="22"/>
          <w:szCs w:val="22"/>
          <w:lang w:val="en-US"/>
        </w:rPr>
      </w:pPr>
    </w:p>
    <w:p w14:paraId="6F1714E9" w14:textId="77777777" w:rsidR="0072144E" w:rsidRPr="003A3376" w:rsidRDefault="0072144E" w:rsidP="0072144E">
      <w:pPr>
        <w:numPr>
          <w:ilvl w:val="0"/>
          <w:numId w:val="3"/>
        </w:numPr>
        <w:tabs>
          <w:tab w:val="left" w:pos="3402"/>
          <w:tab w:val="left" w:pos="3969"/>
        </w:tabs>
        <w:jc w:val="both"/>
        <w:rPr>
          <w:b/>
          <w:sz w:val="22"/>
          <w:szCs w:val="22"/>
          <w:lang w:val="en-US"/>
        </w:rPr>
      </w:pPr>
    </w:p>
    <w:p w14:paraId="638A14D8" w14:textId="77777777" w:rsidR="0072144E" w:rsidRPr="003A3376" w:rsidRDefault="0072144E" w:rsidP="0072144E">
      <w:pPr>
        <w:numPr>
          <w:ilvl w:val="0"/>
          <w:numId w:val="3"/>
        </w:numPr>
        <w:tabs>
          <w:tab w:val="left" w:pos="3402"/>
          <w:tab w:val="left" w:pos="3969"/>
        </w:tabs>
        <w:jc w:val="both"/>
        <w:rPr>
          <w:sz w:val="22"/>
          <w:szCs w:val="22"/>
          <w:lang w:val="en-US"/>
        </w:rPr>
      </w:pPr>
    </w:p>
    <w:p w14:paraId="434E9961" w14:textId="77777777" w:rsidR="0072144E" w:rsidRPr="003A3376" w:rsidRDefault="0072144E" w:rsidP="0072144E">
      <w:pPr>
        <w:tabs>
          <w:tab w:val="left" w:pos="3402"/>
          <w:tab w:val="left" w:pos="3969"/>
        </w:tabs>
        <w:jc w:val="both"/>
        <w:rPr>
          <w:sz w:val="22"/>
          <w:szCs w:val="22"/>
          <w:lang w:val="en-US"/>
        </w:rPr>
      </w:pPr>
    </w:p>
    <w:p w14:paraId="395F0231"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PROFESSIONAL EXPERIENCES</w:t>
      </w:r>
    </w:p>
    <w:p w14:paraId="0CE3F77B" w14:textId="77777777" w:rsidR="0072144E" w:rsidRPr="003A3376" w:rsidRDefault="0072144E" w:rsidP="0072144E">
      <w:pPr>
        <w:tabs>
          <w:tab w:val="left" w:pos="3686"/>
          <w:tab w:val="left" w:pos="3969"/>
        </w:tabs>
        <w:ind w:left="3402" w:hanging="3402"/>
        <w:jc w:val="both"/>
        <w:rPr>
          <w:b/>
          <w:sz w:val="22"/>
          <w:szCs w:val="22"/>
          <w:lang w:val="en-US"/>
        </w:rPr>
      </w:pPr>
      <w:r w:rsidRPr="003A3376">
        <w:rPr>
          <w:b/>
          <w:sz w:val="22"/>
          <w:szCs w:val="22"/>
          <w:lang w:val="en-US"/>
        </w:rPr>
        <w:t>(Employment Record)</w:t>
      </w:r>
    </w:p>
    <w:p w14:paraId="2099EFD2" w14:textId="77777777" w:rsidR="0072144E" w:rsidRPr="003A3376" w:rsidRDefault="0072144E" w:rsidP="0072144E">
      <w:pPr>
        <w:numPr>
          <w:ilvl w:val="0"/>
          <w:numId w:val="3"/>
        </w:numPr>
        <w:tabs>
          <w:tab w:val="left" w:pos="3686"/>
          <w:tab w:val="left" w:pos="3969"/>
        </w:tabs>
        <w:jc w:val="both"/>
        <w:rPr>
          <w:b/>
          <w:sz w:val="22"/>
          <w:szCs w:val="22"/>
          <w:lang w:val="en-US"/>
        </w:rPr>
      </w:pPr>
    </w:p>
    <w:p w14:paraId="4C91FF5D" w14:textId="77777777" w:rsidR="0072144E" w:rsidRPr="003A3376" w:rsidRDefault="0072144E" w:rsidP="0072144E">
      <w:pPr>
        <w:numPr>
          <w:ilvl w:val="0"/>
          <w:numId w:val="3"/>
        </w:numPr>
        <w:tabs>
          <w:tab w:val="left" w:pos="3686"/>
          <w:tab w:val="left" w:pos="3969"/>
        </w:tabs>
        <w:jc w:val="both"/>
        <w:rPr>
          <w:b/>
          <w:sz w:val="22"/>
          <w:szCs w:val="22"/>
          <w:lang w:val="en-US"/>
        </w:rPr>
      </w:pPr>
    </w:p>
    <w:p w14:paraId="17FE75D8" w14:textId="77777777" w:rsidR="0072144E" w:rsidRPr="003A3376" w:rsidRDefault="0072144E" w:rsidP="0072144E">
      <w:pPr>
        <w:numPr>
          <w:ilvl w:val="0"/>
          <w:numId w:val="3"/>
        </w:numPr>
        <w:tabs>
          <w:tab w:val="left" w:pos="3686"/>
          <w:tab w:val="left" w:pos="3969"/>
        </w:tabs>
        <w:jc w:val="both"/>
        <w:rPr>
          <w:b/>
          <w:sz w:val="22"/>
          <w:szCs w:val="22"/>
          <w:lang w:val="en-US"/>
        </w:rPr>
      </w:pPr>
    </w:p>
    <w:p w14:paraId="17FB97E4" w14:textId="77777777" w:rsidR="0072144E" w:rsidRPr="003A3376" w:rsidRDefault="0072144E" w:rsidP="0072144E">
      <w:pPr>
        <w:tabs>
          <w:tab w:val="left" w:pos="2410"/>
          <w:tab w:val="left" w:pos="3969"/>
        </w:tabs>
        <w:jc w:val="both"/>
        <w:rPr>
          <w:sz w:val="22"/>
          <w:szCs w:val="22"/>
          <w:lang w:val="en-US"/>
        </w:rPr>
      </w:pPr>
    </w:p>
    <w:p w14:paraId="29FED70D" w14:textId="77777777" w:rsidR="0072144E" w:rsidRPr="003A3376" w:rsidRDefault="0072144E" w:rsidP="0072144E">
      <w:pPr>
        <w:tabs>
          <w:tab w:val="left" w:pos="2552"/>
          <w:tab w:val="left" w:pos="3969"/>
        </w:tabs>
        <w:jc w:val="both"/>
        <w:rPr>
          <w:sz w:val="22"/>
          <w:szCs w:val="22"/>
          <w:lang w:val="en-US"/>
        </w:rPr>
      </w:pPr>
      <w:r w:rsidRPr="003A3376">
        <w:rPr>
          <w:b/>
          <w:sz w:val="22"/>
          <w:szCs w:val="22"/>
          <w:lang w:val="en-US"/>
        </w:rPr>
        <w:t>Language Proficiency</w:t>
      </w:r>
      <w:r w:rsidRPr="003A3376">
        <w:rPr>
          <w:b/>
          <w:sz w:val="22"/>
          <w:szCs w:val="22"/>
          <w:lang w:val="en-US"/>
        </w:rPr>
        <w:tab/>
        <w:t xml:space="preserve">: </w:t>
      </w:r>
    </w:p>
    <w:p w14:paraId="308CE3AB"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08F67E30" w14:textId="77777777" w:rsidTr="00916196">
        <w:tc>
          <w:tcPr>
            <w:tcW w:w="2209" w:type="dxa"/>
          </w:tcPr>
          <w:p w14:paraId="2806D7B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1.</w:t>
            </w:r>
          </w:p>
        </w:tc>
        <w:tc>
          <w:tcPr>
            <w:tcW w:w="2317" w:type="dxa"/>
          </w:tcPr>
          <w:p w14:paraId="298E2AA0"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4E05F6DE"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55DC8C12"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7D4DE094" w14:textId="77777777" w:rsidTr="00916196">
        <w:tc>
          <w:tcPr>
            <w:tcW w:w="2209" w:type="dxa"/>
          </w:tcPr>
          <w:p w14:paraId="73539D46"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69C57C37" w14:textId="77777777" w:rsidR="0072144E" w:rsidRPr="003A3376" w:rsidRDefault="0072144E" w:rsidP="00916196">
            <w:pPr>
              <w:tabs>
                <w:tab w:val="left" w:pos="2552"/>
                <w:tab w:val="left" w:pos="3969"/>
              </w:tabs>
              <w:jc w:val="both"/>
              <w:rPr>
                <w:sz w:val="22"/>
                <w:szCs w:val="22"/>
                <w:lang w:val="en-US"/>
              </w:rPr>
            </w:pPr>
          </w:p>
        </w:tc>
        <w:tc>
          <w:tcPr>
            <w:tcW w:w="2317" w:type="dxa"/>
          </w:tcPr>
          <w:p w14:paraId="583B3880" w14:textId="77777777" w:rsidR="0072144E" w:rsidRPr="003A3376" w:rsidRDefault="0072144E" w:rsidP="00916196">
            <w:pPr>
              <w:tabs>
                <w:tab w:val="left" w:pos="2552"/>
                <w:tab w:val="left" w:pos="3969"/>
              </w:tabs>
              <w:jc w:val="both"/>
              <w:rPr>
                <w:sz w:val="22"/>
                <w:szCs w:val="22"/>
                <w:lang w:val="en-US"/>
              </w:rPr>
            </w:pPr>
          </w:p>
        </w:tc>
        <w:tc>
          <w:tcPr>
            <w:tcW w:w="2317" w:type="dxa"/>
          </w:tcPr>
          <w:p w14:paraId="72F35D44" w14:textId="77777777" w:rsidR="0072144E" w:rsidRPr="003A3376" w:rsidRDefault="0072144E" w:rsidP="00916196">
            <w:pPr>
              <w:tabs>
                <w:tab w:val="left" w:pos="2552"/>
                <w:tab w:val="left" w:pos="3969"/>
              </w:tabs>
              <w:jc w:val="both"/>
              <w:rPr>
                <w:sz w:val="22"/>
                <w:szCs w:val="22"/>
                <w:lang w:val="en-US"/>
              </w:rPr>
            </w:pPr>
          </w:p>
        </w:tc>
      </w:tr>
      <w:tr w:rsidR="0072144E" w:rsidRPr="003A3376" w14:paraId="58AB81FB" w14:textId="77777777" w:rsidTr="00916196">
        <w:tc>
          <w:tcPr>
            <w:tcW w:w="2209" w:type="dxa"/>
          </w:tcPr>
          <w:p w14:paraId="2FAD76BE"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2CB11CEF" w14:textId="77777777" w:rsidR="0072144E" w:rsidRPr="003A3376" w:rsidRDefault="0072144E" w:rsidP="00916196">
            <w:pPr>
              <w:tabs>
                <w:tab w:val="left" w:pos="2552"/>
                <w:tab w:val="left" w:pos="3969"/>
              </w:tabs>
              <w:jc w:val="both"/>
              <w:rPr>
                <w:sz w:val="22"/>
                <w:szCs w:val="22"/>
                <w:lang w:val="en-US"/>
              </w:rPr>
            </w:pPr>
          </w:p>
        </w:tc>
        <w:tc>
          <w:tcPr>
            <w:tcW w:w="2317" w:type="dxa"/>
          </w:tcPr>
          <w:p w14:paraId="21AFC25C" w14:textId="77777777" w:rsidR="0072144E" w:rsidRPr="003A3376" w:rsidRDefault="0072144E" w:rsidP="00916196">
            <w:pPr>
              <w:tabs>
                <w:tab w:val="left" w:pos="2552"/>
                <w:tab w:val="left" w:pos="3969"/>
              </w:tabs>
              <w:jc w:val="both"/>
              <w:rPr>
                <w:sz w:val="22"/>
                <w:szCs w:val="22"/>
                <w:lang w:val="en-US"/>
              </w:rPr>
            </w:pPr>
          </w:p>
        </w:tc>
        <w:tc>
          <w:tcPr>
            <w:tcW w:w="2317" w:type="dxa"/>
          </w:tcPr>
          <w:p w14:paraId="6EC00C79" w14:textId="77777777" w:rsidR="0072144E" w:rsidRPr="003A3376" w:rsidRDefault="0072144E" w:rsidP="00916196">
            <w:pPr>
              <w:tabs>
                <w:tab w:val="left" w:pos="2552"/>
                <w:tab w:val="left" w:pos="3969"/>
              </w:tabs>
              <w:jc w:val="both"/>
              <w:rPr>
                <w:sz w:val="22"/>
                <w:szCs w:val="22"/>
                <w:lang w:val="en-US"/>
              </w:rPr>
            </w:pPr>
          </w:p>
        </w:tc>
      </w:tr>
      <w:tr w:rsidR="0072144E" w:rsidRPr="003A3376" w14:paraId="0747BFE1" w14:textId="77777777" w:rsidTr="00916196">
        <w:tc>
          <w:tcPr>
            <w:tcW w:w="2209" w:type="dxa"/>
          </w:tcPr>
          <w:p w14:paraId="46A6561F"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7642B83A" w14:textId="77777777" w:rsidR="0072144E" w:rsidRPr="003A3376" w:rsidRDefault="0072144E" w:rsidP="00916196">
            <w:pPr>
              <w:tabs>
                <w:tab w:val="left" w:pos="2552"/>
                <w:tab w:val="left" w:pos="3969"/>
              </w:tabs>
              <w:jc w:val="both"/>
              <w:rPr>
                <w:sz w:val="22"/>
                <w:szCs w:val="22"/>
                <w:lang w:val="en-US"/>
              </w:rPr>
            </w:pPr>
          </w:p>
        </w:tc>
        <w:tc>
          <w:tcPr>
            <w:tcW w:w="2317" w:type="dxa"/>
          </w:tcPr>
          <w:p w14:paraId="78A28885" w14:textId="77777777" w:rsidR="0072144E" w:rsidRPr="003A3376" w:rsidRDefault="0072144E" w:rsidP="00916196">
            <w:pPr>
              <w:tabs>
                <w:tab w:val="left" w:pos="2552"/>
                <w:tab w:val="left" w:pos="3969"/>
              </w:tabs>
              <w:jc w:val="both"/>
              <w:rPr>
                <w:sz w:val="22"/>
                <w:szCs w:val="22"/>
                <w:lang w:val="en-US"/>
              </w:rPr>
            </w:pPr>
          </w:p>
        </w:tc>
        <w:tc>
          <w:tcPr>
            <w:tcW w:w="2317" w:type="dxa"/>
          </w:tcPr>
          <w:p w14:paraId="0E5C5579" w14:textId="77777777" w:rsidR="0072144E" w:rsidRPr="003A3376" w:rsidRDefault="0072144E" w:rsidP="00916196">
            <w:pPr>
              <w:tabs>
                <w:tab w:val="left" w:pos="2552"/>
                <w:tab w:val="left" w:pos="3969"/>
              </w:tabs>
              <w:jc w:val="both"/>
              <w:rPr>
                <w:sz w:val="22"/>
                <w:szCs w:val="22"/>
                <w:lang w:val="en-US"/>
              </w:rPr>
            </w:pPr>
          </w:p>
        </w:tc>
      </w:tr>
    </w:tbl>
    <w:p w14:paraId="6698C1B3" w14:textId="77777777" w:rsidR="0072144E" w:rsidRPr="003A3376" w:rsidRDefault="0072144E" w:rsidP="0072144E">
      <w:pPr>
        <w:tabs>
          <w:tab w:val="left" w:pos="2552"/>
          <w:tab w:val="left" w:pos="3969"/>
        </w:tabs>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71"/>
        <w:gridCol w:w="2259"/>
        <w:gridCol w:w="2257"/>
      </w:tblGrid>
      <w:tr w:rsidR="0072144E" w:rsidRPr="003A3376" w14:paraId="75EF9C8B" w14:textId="77777777" w:rsidTr="00916196">
        <w:tc>
          <w:tcPr>
            <w:tcW w:w="2209" w:type="dxa"/>
          </w:tcPr>
          <w:p w14:paraId="0D4BDB41"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2.</w:t>
            </w:r>
          </w:p>
        </w:tc>
        <w:tc>
          <w:tcPr>
            <w:tcW w:w="2317" w:type="dxa"/>
          </w:tcPr>
          <w:p w14:paraId="3226FD5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Excellent</w:t>
            </w:r>
          </w:p>
        </w:tc>
        <w:tc>
          <w:tcPr>
            <w:tcW w:w="2317" w:type="dxa"/>
          </w:tcPr>
          <w:p w14:paraId="1CD0E8D1"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Good</w:t>
            </w:r>
          </w:p>
        </w:tc>
        <w:tc>
          <w:tcPr>
            <w:tcW w:w="2317" w:type="dxa"/>
          </w:tcPr>
          <w:p w14:paraId="15804BFB" w14:textId="77777777" w:rsidR="0072144E" w:rsidRPr="003A3376" w:rsidRDefault="0072144E" w:rsidP="00916196">
            <w:pPr>
              <w:tabs>
                <w:tab w:val="left" w:pos="2552"/>
                <w:tab w:val="left" w:pos="3969"/>
              </w:tabs>
              <w:jc w:val="center"/>
              <w:rPr>
                <w:sz w:val="22"/>
                <w:szCs w:val="22"/>
                <w:lang w:val="en-US"/>
              </w:rPr>
            </w:pPr>
            <w:r w:rsidRPr="003A3376">
              <w:rPr>
                <w:sz w:val="22"/>
                <w:szCs w:val="22"/>
                <w:lang w:val="en-US"/>
              </w:rPr>
              <w:t>Poor</w:t>
            </w:r>
          </w:p>
        </w:tc>
      </w:tr>
      <w:tr w:rsidR="0072144E" w:rsidRPr="003A3376" w14:paraId="32CFA4C7" w14:textId="77777777" w:rsidTr="00916196">
        <w:tc>
          <w:tcPr>
            <w:tcW w:w="2209" w:type="dxa"/>
          </w:tcPr>
          <w:p w14:paraId="045581D4"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Reading</w:t>
            </w:r>
          </w:p>
        </w:tc>
        <w:tc>
          <w:tcPr>
            <w:tcW w:w="2317" w:type="dxa"/>
          </w:tcPr>
          <w:p w14:paraId="5F6242E8" w14:textId="77777777" w:rsidR="0072144E" w:rsidRPr="003A3376" w:rsidRDefault="0072144E" w:rsidP="00916196">
            <w:pPr>
              <w:tabs>
                <w:tab w:val="left" w:pos="2552"/>
                <w:tab w:val="left" w:pos="3969"/>
              </w:tabs>
              <w:jc w:val="both"/>
              <w:rPr>
                <w:sz w:val="22"/>
                <w:szCs w:val="22"/>
                <w:lang w:val="en-US"/>
              </w:rPr>
            </w:pPr>
          </w:p>
        </w:tc>
        <w:tc>
          <w:tcPr>
            <w:tcW w:w="2317" w:type="dxa"/>
          </w:tcPr>
          <w:p w14:paraId="57ADB484" w14:textId="77777777" w:rsidR="0072144E" w:rsidRPr="003A3376" w:rsidRDefault="0072144E" w:rsidP="00916196">
            <w:pPr>
              <w:tabs>
                <w:tab w:val="left" w:pos="2552"/>
                <w:tab w:val="left" w:pos="3969"/>
              </w:tabs>
              <w:jc w:val="both"/>
              <w:rPr>
                <w:sz w:val="22"/>
                <w:szCs w:val="22"/>
                <w:lang w:val="en-US"/>
              </w:rPr>
            </w:pPr>
          </w:p>
        </w:tc>
        <w:tc>
          <w:tcPr>
            <w:tcW w:w="2317" w:type="dxa"/>
          </w:tcPr>
          <w:p w14:paraId="3DF31DEB" w14:textId="77777777" w:rsidR="0072144E" w:rsidRPr="003A3376" w:rsidRDefault="0072144E" w:rsidP="00916196">
            <w:pPr>
              <w:tabs>
                <w:tab w:val="left" w:pos="2552"/>
                <w:tab w:val="left" w:pos="3969"/>
              </w:tabs>
              <w:jc w:val="both"/>
              <w:rPr>
                <w:sz w:val="22"/>
                <w:szCs w:val="22"/>
                <w:lang w:val="en-US"/>
              </w:rPr>
            </w:pPr>
          </w:p>
        </w:tc>
      </w:tr>
      <w:tr w:rsidR="0072144E" w:rsidRPr="003A3376" w14:paraId="43D43ACE" w14:textId="77777777" w:rsidTr="00916196">
        <w:tc>
          <w:tcPr>
            <w:tcW w:w="2209" w:type="dxa"/>
          </w:tcPr>
          <w:p w14:paraId="62F1290D"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Writing</w:t>
            </w:r>
          </w:p>
        </w:tc>
        <w:tc>
          <w:tcPr>
            <w:tcW w:w="2317" w:type="dxa"/>
          </w:tcPr>
          <w:p w14:paraId="58C0D1DB" w14:textId="77777777" w:rsidR="0072144E" w:rsidRPr="003A3376" w:rsidRDefault="0072144E" w:rsidP="00916196">
            <w:pPr>
              <w:tabs>
                <w:tab w:val="left" w:pos="2552"/>
                <w:tab w:val="left" w:pos="3969"/>
              </w:tabs>
              <w:jc w:val="both"/>
              <w:rPr>
                <w:sz w:val="22"/>
                <w:szCs w:val="22"/>
                <w:lang w:val="en-US"/>
              </w:rPr>
            </w:pPr>
          </w:p>
        </w:tc>
        <w:tc>
          <w:tcPr>
            <w:tcW w:w="2317" w:type="dxa"/>
          </w:tcPr>
          <w:p w14:paraId="783F9B3E" w14:textId="77777777" w:rsidR="0072144E" w:rsidRPr="003A3376" w:rsidRDefault="0072144E" w:rsidP="00916196">
            <w:pPr>
              <w:tabs>
                <w:tab w:val="left" w:pos="2552"/>
                <w:tab w:val="left" w:pos="3969"/>
              </w:tabs>
              <w:jc w:val="both"/>
              <w:rPr>
                <w:sz w:val="22"/>
                <w:szCs w:val="22"/>
                <w:lang w:val="en-US"/>
              </w:rPr>
            </w:pPr>
          </w:p>
        </w:tc>
        <w:tc>
          <w:tcPr>
            <w:tcW w:w="2317" w:type="dxa"/>
          </w:tcPr>
          <w:p w14:paraId="3B338DD0" w14:textId="77777777" w:rsidR="0072144E" w:rsidRPr="003A3376" w:rsidRDefault="0072144E" w:rsidP="00916196">
            <w:pPr>
              <w:tabs>
                <w:tab w:val="left" w:pos="2552"/>
                <w:tab w:val="left" w:pos="3969"/>
              </w:tabs>
              <w:jc w:val="both"/>
              <w:rPr>
                <w:sz w:val="22"/>
                <w:szCs w:val="22"/>
                <w:lang w:val="en-US"/>
              </w:rPr>
            </w:pPr>
          </w:p>
        </w:tc>
      </w:tr>
      <w:tr w:rsidR="0072144E" w:rsidRPr="003A3376" w14:paraId="0482D2DB" w14:textId="77777777" w:rsidTr="00916196">
        <w:tc>
          <w:tcPr>
            <w:tcW w:w="2209" w:type="dxa"/>
          </w:tcPr>
          <w:p w14:paraId="3FE0CD4C" w14:textId="77777777" w:rsidR="0072144E" w:rsidRPr="003A3376" w:rsidRDefault="0072144E" w:rsidP="00916196">
            <w:pPr>
              <w:tabs>
                <w:tab w:val="left" w:pos="2552"/>
                <w:tab w:val="left" w:pos="3969"/>
              </w:tabs>
              <w:jc w:val="both"/>
              <w:rPr>
                <w:sz w:val="22"/>
                <w:szCs w:val="22"/>
                <w:lang w:val="en-US"/>
              </w:rPr>
            </w:pPr>
            <w:r w:rsidRPr="003A3376">
              <w:rPr>
                <w:sz w:val="22"/>
                <w:szCs w:val="22"/>
                <w:lang w:val="en-US"/>
              </w:rPr>
              <w:t>Speaking</w:t>
            </w:r>
          </w:p>
        </w:tc>
        <w:tc>
          <w:tcPr>
            <w:tcW w:w="2317" w:type="dxa"/>
          </w:tcPr>
          <w:p w14:paraId="2E30BBFF" w14:textId="77777777" w:rsidR="0072144E" w:rsidRPr="003A3376" w:rsidRDefault="0072144E" w:rsidP="00916196">
            <w:pPr>
              <w:tabs>
                <w:tab w:val="left" w:pos="2552"/>
                <w:tab w:val="left" w:pos="3969"/>
              </w:tabs>
              <w:jc w:val="both"/>
              <w:rPr>
                <w:sz w:val="22"/>
                <w:szCs w:val="22"/>
                <w:lang w:val="en-US"/>
              </w:rPr>
            </w:pPr>
          </w:p>
        </w:tc>
        <w:tc>
          <w:tcPr>
            <w:tcW w:w="2317" w:type="dxa"/>
          </w:tcPr>
          <w:p w14:paraId="1EA8E1E2" w14:textId="77777777" w:rsidR="0072144E" w:rsidRPr="003A3376" w:rsidRDefault="0072144E" w:rsidP="00916196">
            <w:pPr>
              <w:tabs>
                <w:tab w:val="left" w:pos="2552"/>
                <w:tab w:val="left" w:pos="3969"/>
              </w:tabs>
              <w:jc w:val="both"/>
              <w:rPr>
                <w:sz w:val="22"/>
                <w:szCs w:val="22"/>
                <w:lang w:val="en-US"/>
              </w:rPr>
            </w:pPr>
          </w:p>
        </w:tc>
        <w:tc>
          <w:tcPr>
            <w:tcW w:w="2317" w:type="dxa"/>
          </w:tcPr>
          <w:p w14:paraId="4FEE5013" w14:textId="77777777" w:rsidR="0072144E" w:rsidRPr="003A3376" w:rsidRDefault="0072144E" w:rsidP="00916196">
            <w:pPr>
              <w:tabs>
                <w:tab w:val="left" w:pos="2552"/>
                <w:tab w:val="left" w:pos="3969"/>
              </w:tabs>
              <w:jc w:val="both"/>
              <w:rPr>
                <w:sz w:val="22"/>
                <w:szCs w:val="22"/>
                <w:lang w:val="en-US"/>
              </w:rPr>
            </w:pPr>
          </w:p>
        </w:tc>
      </w:tr>
    </w:tbl>
    <w:p w14:paraId="29DFC8E4" w14:textId="77777777" w:rsidR="0072144E" w:rsidRPr="003A3376" w:rsidRDefault="0072144E" w:rsidP="0072144E">
      <w:pPr>
        <w:tabs>
          <w:tab w:val="left" w:pos="2552"/>
          <w:tab w:val="left" w:pos="3969"/>
        </w:tabs>
        <w:jc w:val="both"/>
        <w:rPr>
          <w:sz w:val="22"/>
          <w:szCs w:val="22"/>
          <w:lang w:val="en-US"/>
        </w:rPr>
      </w:pPr>
    </w:p>
    <w:p w14:paraId="643F6B27" w14:textId="77777777" w:rsidR="00007F72" w:rsidRDefault="00007F72" w:rsidP="0072144E">
      <w:pPr>
        <w:tabs>
          <w:tab w:val="left" w:pos="2410"/>
        </w:tabs>
        <w:ind w:left="993" w:hanging="993"/>
        <w:jc w:val="both"/>
        <w:rPr>
          <w:b/>
          <w:sz w:val="22"/>
          <w:szCs w:val="22"/>
          <w:lang w:val="en-US"/>
        </w:rPr>
      </w:pPr>
    </w:p>
    <w:p w14:paraId="6AFD338A" w14:textId="69E3D3C0" w:rsidR="0072144E" w:rsidRPr="003A3376" w:rsidRDefault="0072144E" w:rsidP="0072144E">
      <w:pPr>
        <w:tabs>
          <w:tab w:val="left" w:pos="2410"/>
        </w:tabs>
        <w:ind w:left="993" w:hanging="993"/>
        <w:jc w:val="both"/>
        <w:rPr>
          <w:sz w:val="22"/>
          <w:szCs w:val="22"/>
          <w:lang w:val="en-US"/>
        </w:rPr>
      </w:pPr>
      <w:r w:rsidRPr="003A3376">
        <w:rPr>
          <w:b/>
          <w:sz w:val="22"/>
          <w:szCs w:val="22"/>
          <w:lang w:val="en-US"/>
        </w:rPr>
        <w:t>Computing Knowledge</w:t>
      </w:r>
      <w:r w:rsidRPr="003A3376">
        <w:rPr>
          <w:b/>
          <w:sz w:val="22"/>
          <w:szCs w:val="22"/>
          <w:lang w:val="en-US"/>
        </w:rPr>
        <w:tab/>
        <w:t>:</w:t>
      </w:r>
      <w:r w:rsidRPr="003A3376">
        <w:rPr>
          <w:sz w:val="22"/>
          <w:szCs w:val="22"/>
          <w:lang w:val="en-US"/>
        </w:rPr>
        <w:t xml:space="preserve"> </w:t>
      </w:r>
    </w:p>
    <w:p w14:paraId="0EAF37D0" w14:textId="77777777" w:rsidR="0072144E" w:rsidRPr="003A3376" w:rsidRDefault="0072144E" w:rsidP="0072144E">
      <w:pPr>
        <w:tabs>
          <w:tab w:val="left" w:pos="2410"/>
        </w:tabs>
        <w:ind w:left="993" w:hanging="993"/>
        <w:jc w:val="both"/>
        <w:rPr>
          <w:sz w:val="22"/>
          <w:szCs w:val="22"/>
          <w:lang w:val="en-US"/>
        </w:rPr>
      </w:pPr>
    </w:p>
    <w:p w14:paraId="72FCD1A5" w14:textId="77777777" w:rsidR="0072144E" w:rsidRPr="003A3376" w:rsidRDefault="0072144E" w:rsidP="0072144E">
      <w:pPr>
        <w:tabs>
          <w:tab w:val="left" w:pos="2410"/>
        </w:tabs>
        <w:ind w:left="993" w:hanging="993"/>
        <w:jc w:val="both"/>
        <w:rPr>
          <w:sz w:val="22"/>
          <w:szCs w:val="22"/>
          <w:lang w:val="en-US"/>
        </w:rPr>
      </w:pPr>
      <w:r w:rsidRPr="003A3376">
        <w:rPr>
          <w:sz w:val="22"/>
          <w:szCs w:val="22"/>
          <w:lang w:val="en-US"/>
        </w:rPr>
        <w:t>Experience in:</w:t>
      </w:r>
    </w:p>
    <w:p w14:paraId="680391C9" w14:textId="77777777" w:rsidR="0072144E" w:rsidRPr="003A3376" w:rsidRDefault="0072144E" w:rsidP="0072144E">
      <w:pPr>
        <w:numPr>
          <w:ilvl w:val="0"/>
          <w:numId w:val="3"/>
        </w:numPr>
        <w:tabs>
          <w:tab w:val="left" w:pos="2410"/>
        </w:tabs>
        <w:jc w:val="both"/>
        <w:rPr>
          <w:sz w:val="22"/>
          <w:szCs w:val="22"/>
          <w:lang w:val="en-US"/>
        </w:rPr>
      </w:pPr>
    </w:p>
    <w:p w14:paraId="6BFCCD1E" w14:textId="77777777" w:rsidR="0072144E" w:rsidRPr="003A3376" w:rsidRDefault="0072144E" w:rsidP="0072144E">
      <w:pPr>
        <w:numPr>
          <w:ilvl w:val="0"/>
          <w:numId w:val="3"/>
        </w:numPr>
        <w:tabs>
          <w:tab w:val="left" w:pos="2410"/>
        </w:tabs>
        <w:jc w:val="both"/>
        <w:rPr>
          <w:sz w:val="22"/>
          <w:szCs w:val="22"/>
          <w:lang w:val="en-US"/>
        </w:rPr>
      </w:pPr>
    </w:p>
    <w:p w14:paraId="5C55F6D3" w14:textId="77777777" w:rsidR="0072144E" w:rsidRPr="003A3376" w:rsidRDefault="0072144E" w:rsidP="0072144E">
      <w:pPr>
        <w:numPr>
          <w:ilvl w:val="0"/>
          <w:numId w:val="3"/>
        </w:numPr>
        <w:tabs>
          <w:tab w:val="left" w:pos="2410"/>
        </w:tabs>
        <w:jc w:val="both"/>
        <w:rPr>
          <w:sz w:val="22"/>
          <w:szCs w:val="22"/>
          <w:lang w:val="en-US"/>
        </w:rPr>
      </w:pPr>
    </w:p>
    <w:p w14:paraId="68EAF177" w14:textId="77777777" w:rsidR="0072144E" w:rsidRPr="003A3376" w:rsidRDefault="0072144E" w:rsidP="0072144E">
      <w:pPr>
        <w:numPr>
          <w:ilvl w:val="0"/>
          <w:numId w:val="3"/>
        </w:numPr>
        <w:tabs>
          <w:tab w:val="left" w:pos="2410"/>
        </w:tabs>
        <w:jc w:val="both"/>
        <w:rPr>
          <w:sz w:val="22"/>
          <w:szCs w:val="22"/>
          <w:lang w:val="en-US"/>
        </w:rPr>
      </w:pPr>
    </w:p>
    <w:p w14:paraId="183E42E4" w14:textId="77777777" w:rsidR="0072144E" w:rsidRPr="003A3376" w:rsidRDefault="0072144E" w:rsidP="0072144E">
      <w:pPr>
        <w:tabs>
          <w:tab w:val="left" w:pos="2410"/>
        </w:tabs>
        <w:ind w:left="993" w:hanging="993"/>
        <w:jc w:val="both"/>
        <w:rPr>
          <w:sz w:val="22"/>
          <w:szCs w:val="22"/>
          <w:lang w:val="en-US"/>
        </w:rPr>
      </w:pPr>
    </w:p>
    <w:p w14:paraId="2798E472" w14:textId="77777777" w:rsidR="0072144E" w:rsidRPr="003A3376" w:rsidRDefault="0072144E" w:rsidP="0072144E">
      <w:pPr>
        <w:tabs>
          <w:tab w:val="left" w:pos="3402"/>
        </w:tabs>
        <w:jc w:val="both"/>
        <w:rPr>
          <w:b/>
          <w:sz w:val="22"/>
          <w:szCs w:val="22"/>
          <w:lang w:val="en-US"/>
        </w:rPr>
      </w:pPr>
      <w:r w:rsidRPr="003A3376">
        <w:rPr>
          <w:b/>
          <w:sz w:val="22"/>
          <w:szCs w:val="22"/>
          <w:lang w:val="en-US"/>
        </w:rPr>
        <w:lastRenderedPageBreak/>
        <w:t>Membership of Professional Societies</w:t>
      </w:r>
      <w:r w:rsidRPr="003A3376">
        <w:rPr>
          <w:b/>
          <w:sz w:val="22"/>
          <w:szCs w:val="22"/>
          <w:lang w:val="en-US"/>
        </w:rPr>
        <w:tab/>
        <w:t xml:space="preserve">: </w:t>
      </w:r>
    </w:p>
    <w:p w14:paraId="2F80A50F" w14:textId="77777777" w:rsidR="0072144E" w:rsidRPr="003A3376" w:rsidRDefault="0072144E" w:rsidP="0072144E">
      <w:pPr>
        <w:tabs>
          <w:tab w:val="left" w:pos="3402"/>
        </w:tabs>
        <w:jc w:val="both"/>
        <w:rPr>
          <w:b/>
          <w:sz w:val="22"/>
          <w:szCs w:val="22"/>
          <w:lang w:val="en-US"/>
        </w:rPr>
      </w:pPr>
    </w:p>
    <w:p w14:paraId="7548FA67"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References and transcripts</w:t>
      </w:r>
      <w:r w:rsidRPr="003A3376">
        <w:rPr>
          <w:b/>
          <w:sz w:val="22"/>
          <w:szCs w:val="22"/>
          <w:lang w:val="en-US"/>
        </w:rPr>
        <w:tab/>
        <w:t>: AVAILABLE UPON REQUEST</w:t>
      </w:r>
    </w:p>
    <w:p w14:paraId="0BBB25FA" w14:textId="77777777" w:rsidR="0072144E" w:rsidRPr="003A3376" w:rsidRDefault="0072144E" w:rsidP="0072144E">
      <w:pPr>
        <w:tabs>
          <w:tab w:val="left" w:pos="3402"/>
          <w:tab w:val="left" w:pos="3969"/>
        </w:tabs>
        <w:jc w:val="both"/>
        <w:rPr>
          <w:b/>
          <w:sz w:val="22"/>
          <w:szCs w:val="22"/>
          <w:lang w:val="en-US"/>
        </w:rPr>
      </w:pPr>
    </w:p>
    <w:p w14:paraId="25AC924E" w14:textId="77777777" w:rsidR="0072144E" w:rsidRPr="003A3376" w:rsidRDefault="0072144E" w:rsidP="0072144E">
      <w:pPr>
        <w:tabs>
          <w:tab w:val="left" w:pos="3402"/>
          <w:tab w:val="left" w:pos="3969"/>
        </w:tabs>
        <w:jc w:val="both"/>
        <w:rPr>
          <w:b/>
          <w:sz w:val="22"/>
          <w:szCs w:val="22"/>
          <w:lang w:val="en-US"/>
        </w:rPr>
      </w:pPr>
      <w:r w:rsidRPr="003A3376">
        <w:rPr>
          <w:b/>
          <w:sz w:val="22"/>
          <w:szCs w:val="22"/>
          <w:lang w:val="en-US"/>
        </w:rPr>
        <w:t>Certification</w:t>
      </w:r>
    </w:p>
    <w:p w14:paraId="687593CC" w14:textId="77777777" w:rsidR="0072144E" w:rsidRPr="003A3376" w:rsidRDefault="0072144E" w:rsidP="0072144E">
      <w:pPr>
        <w:tabs>
          <w:tab w:val="left" w:pos="3402"/>
          <w:tab w:val="left" w:pos="3969"/>
        </w:tabs>
        <w:jc w:val="both"/>
        <w:rPr>
          <w:b/>
          <w:sz w:val="22"/>
          <w:szCs w:val="22"/>
          <w:lang w:val="en-US"/>
        </w:rPr>
      </w:pPr>
    </w:p>
    <w:p w14:paraId="01B3F4AC"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ab/>
        <w:t>I, the undersigned, certify that to the best of my knowledge and belief, this biodata correctly describes myself, my qualifications and my experience.</w:t>
      </w:r>
    </w:p>
    <w:p w14:paraId="6FBE0BC0" w14:textId="77777777" w:rsidR="0072144E" w:rsidRPr="003A3376" w:rsidRDefault="0072144E" w:rsidP="0072144E">
      <w:pPr>
        <w:tabs>
          <w:tab w:val="left" w:pos="851"/>
          <w:tab w:val="left" w:pos="3969"/>
        </w:tabs>
        <w:jc w:val="both"/>
        <w:rPr>
          <w:sz w:val="22"/>
          <w:szCs w:val="22"/>
          <w:lang w:val="en-US"/>
        </w:rPr>
      </w:pPr>
    </w:p>
    <w:p w14:paraId="68D5B777" w14:textId="77777777" w:rsidR="0072144E" w:rsidRPr="003A3376" w:rsidRDefault="0072144E" w:rsidP="0072144E">
      <w:pPr>
        <w:tabs>
          <w:tab w:val="left" w:pos="851"/>
          <w:tab w:val="left" w:pos="3969"/>
        </w:tabs>
        <w:jc w:val="both"/>
        <w:rPr>
          <w:sz w:val="22"/>
          <w:szCs w:val="22"/>
          <w:lang w:val="en-US"/>
        </w:rPr>
      </w:pPr>
      <w:r w:rsidRPr="003A3376">
        <w:rPr>
          <w:sz w:val="22"/>
          <w:szCs w:val="22"/>
          <w:lang w:val="en-US"/>
        </w:rPr>
        <w:t>Signature</w:t>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r>
      <w:r w:rsidRPr="003A3376">
        <w:rPr>
          <w:sz w:val="22"/>
          <w:szCs w:val="22"/>
          <w:lang w:val="en-US"/>
        </w:rPr>
        <w:tab/>
        <w:t>Date</w:t>
      </w:r>
    </w:p>
    <w:p w14:paraId="69EC4498" w14:textId="77777777" w:rsidR="0072144E" w:rsidRPr="003A3376" w:rsidRDefault="0072144E" w:rsidP="0072144E">
      <w:pPr>
        <w:rPr>
          <w:sz w:val="22"/>
          <w:szCs w:val="22"/>
          <w:lang w:val="en-US"/>
        </w:rPr>
      </w:pPr>
    </w:p>
    <w:p w14:paraId="2810586E" w14:textId="77777777" w:rsidR="0072144E" w:rsidRPr="003A3376" w:rsidRDefault="0072144E" w:rsidP="00496C14">
      <w:pPr>
        <w:rPr>
          <w:sz w:val="22"/>
          <w:szCs w:val="22"/>
          <w:lang w:val="en-US"/>
        </w:rPr>
      </w:pPr>
    </w:p>
    <w:sectPr w:rsidR="0072144E" w:rsidRPr="003A337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EAEBBD" w16cex:dateUtc="2025-01-2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74E23" w16cid:durableId="77F1669F"/>
  <w16cid:commentId w16cid:paraId="5FC27E49" w16cid:durableId="4E6F0104"/>
  <w16cid:commentId w16cid:paraId="5ACD5DC8" w16cid:durableId="23EA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A071" w14:textId="77777777" w:rsidR="002252CB" w:rsidRDefault="002252CB" w:rsidP="003A3376">
      <w:r>
        <w:separator/>
      </w:r>
    </w:p>
  </w:endnote>
  <w:endnote w:type="continuationSeparator" w:id="0">
    <w:p w14:paraId="30AF6BDF" w14:textId="77777777" w:rsidR="002252CB" w:rsidRDefault="002252CB" w:rsidP="003A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5155" w14:textId="77777777" w:rsidR="004D5D28" w:rsidRDefault="004D5D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E9AA" w14:textId="77777777" w:rsidR="003A3376" w:rsidRDefault="003A3376" w:rsidP="007B135B">
    <w:pPr>
      <w:pStyle w:val="AltBilgi"/>
    </w:pPr>
    <w:bookmarkStart w:id="141" w:name="DocumentMarkings1FooterPrimary"/>
    <w:r w:rsidRPr="00EB7E0B">
      <w:rPr>
        <w:color w:val="000000"/>
        <w:sz w:val="17"/>
      </w:rPr>
      <w:t> </w:t>
    </w:r>
    <w:bookmarkEnd w:id="14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C44A" w14:textId="77777777" w:rsidR="004D5D28" w:rsidRDefault="004D5D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A6BA" w14:textId="77777777" w:rsidR="002252CB" w:rsidRDefault="002252CB" w:rsidP="003A3376">
      <w:r>
        <w:separator/>
      </w:r>
    </w:p>
  </w:footnote>
  <w:footnote w:type="continuationSeparator" w:id="0">
    <w:p w14:paraId="0AAA12CD" w14:textId="77777777" w:rsidR="002252CB" w:rsidRDefault="002252CB" w:rsidP="003A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1DF6B" w14:textId="77777777" w:rsidR="004D5D28" w:rsidRDefault="004D5D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D493" w14:textId="77777777" w:rsidR="004D5D28" w:rsidRDefault="004D5D2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1F65" w14:textId="77777777" w:rsidR="004D5D28" w:rsidRDefault="004D5D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74"/>
    <w:multiLevelType w:val="hybridMultilevel"/>
    <w:tmpl w:val="BB9A7EFC"/>
    <w:lvl w:ilvl="0" w:tplc="0E949B02">
      <w:start w:val="2"/>
      <w:numFmt w:val="bullet"/>
      <w:lvlText w:val="-"/>
      <w:lvlJc w:val="left"/>
      <w:pPr>
        <w:ind w:left="72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335BED"/>
    <w:multiLevelType w:val="hybridMultilevel"/>
    <w:tmpl w:val="995E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634B8C"/>
    <w:multiLevelType w:val="hybridMultilevel"/>
    <w:tmpl w:val="84985D88"/>
    <w:lvl w:ilvl="0" w:tplc="1A684A4A">
      <w:start w:val="1"/>
      <w:numFmt w:val="lowerRoman"/>
      <w:lvlText w:val="(%1)"/>
      <w:lvlJc w:val="left"/>
      <w:pPr>
        <w:ind w:left="643" w:hanging="36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748E3328"/>
    <w:multiLevelType w:val="hybridMultilevel"/>
    <w:tmpl w:val="887EC04E"/>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07F72"/>
    <w:rsid w:val="000237D3"/>
    <w:rsid w:val="00027A92"/>
    <w:rsid w:val="000375BA"/>
    <w:rsid w:val="00040499"/>
    <w:rsid w:val="000449D4"/>
    <w:rsid w:val="00056001"/>
    <w:rsid w:val="00060D2B"/>
    <w:rsid w:val="0006126C"/>
    <w:rsid w:val="00077FF6"/>
    <w:rsid w:val="00082D64"/>
    <w:rsid w:val="00092ABA"/>
    <w:rsid w:val="000A1020"/>
    <w:rsid w:val="000A1F80"/>
    <w:rsid w:val="000A20FE"/>
    <w:rsid w:val="000A3DE9"/>
    <w:rsid w:val="000B3034"/>
    <w:rsid w:val="000D0DA6"/>
    <w:rsid w:val="000D3F24"/>
    <w:rsid w:val="000D5A09"/>
    <w:rsid w:val="000E0927"/>
    <w:rsid w:val="000E29D8"/>
    <w:rsid w:val="000E371F"/>
    <w:rsid w:val="000E6944"/>
    <w:rsid w:val="000E73A1"/>
    <w:rsid w:val="000F78DC"/>
    <w:rsid w:val="000F7E68"/>
    <w:rsid w:val="00101722"/>
    <w:rsid w:val="00101A3C"/>
    <w:rsid w:val="00104652"/>
    <w:rsid w:val="00104CAF"/>
    <w:rsid w:val="001102E1"/>
    <w:rsid w:val="00115CF9"/>
    <w:rsid w:val="00116C34"/>
    <w:rsid w:val="001416CC"/>
    <w:rsid w:val="001617A5"/>
    <w:rsid w:val="00172C56"/>
    <w:rsid w:val="001858DC"/>
    <w:rsid w:val="0018762A"/>
    <w:rsid w:val="001937DB"/>
    <w:rsid w:val="001A35E7"/>
    <w:rsid w:val="001D786A"/>
    <w:rsid w:val="001E15AD"/>
    <w:rsid w:val="001E7337"/>
    <w:rsid w:val="001F28C6"/>
    <w:rsid w:val="001F5806"/>
    <w:rsid w:val="00204921"/>
    <w:rsid w:val="00205123"/>
    <w:rsid w:val="00206D79"/>
    <w:rsid w:val="0021375B"/>
    <w:rsid w:val="00216081"/>
    <w:rsid w:val="002243CF"/>
    <w:rsid w:val="002252CB"/>
    <w:rsid w:val="00233402"/>
    <w:rsid w:val="00234B1A"/>
    <w:rsid w:val="002352A9"/>
    <w:rsid w:val="00241513"/>
    <w:rsid w:val="00246539"/>
    <w:rsid w:val="00253B94"/>
    <w:rsid w:val="00254803"/>
    <w:rsid w:val="002574D7"/>
    <w:rsid w:val="002638FD"/>
    <w:rsid w:val="00264A6B"/>
    <w:rsid w:val="00275D97"/>
    <w:rsid w:val="00284ED7"/>
    <w:rsid w:val="002A0B09"/>
    <w:rsid w:val="002A3025"/>
    <w:rsid w:val="002B0F72"/>
    <w:rsid w:val="002B3172"/>
    <w:rsid w:val="002E00C1"/>
    <w:rsid w:val="002E2EC3"/>
    <w:rsid w:val="002E766A"/>
    <w:rsid w:val="00300A48"/>
    <w:rsid w:val="003102A6"/>
    <w:rsid w:val="00310797"/>
    <w:rsid w:val="00311E3E"/>
    <w:rsid w:val="00332957"/>
    <w:rsid w:val="00336235"/>
    <w:rsid w:val="00346820"/>
    <w:rsid w:val="0035275C"/>
    <w:rsid w:val="003529B9"/>
    <w:rsid w:val="0035770D"/>
    <w:rsid w:val="00377919"/>
    <w:rsid w:val="003861F8"/>
    <w:rsid w:val="003A152A"/>
    <w:rsid w:val="003A3376"/>
    <w:rsid w:val="003B46EE"/>
    <w:rsid w:val="003C19FD"/>
    <w:rsid w:val="003C269D"/>
    <w:rsid w:val="003C3D41"/>
    <w:rsid w:val="003C5E36"/>
    <w:rsid w:val="003D1F44"/>
    <w:rsid w:val="003F154C"/>
    <w:rsid w:val="003F212A"/>
    <w:rsid w:val="00402A68"/>
    <w:rsid w:val="0041574A"/>
    <w:rsid w:val="00440F0F"/>
    <w:rsid w:val="00462589"/>
    <w:rsid w:val="004629C0"/>
    <w:rsid w:val="00471AB5"/>
    <w:rsid w:val="00475773"/>
    <w:rsid w:val="00486987"/>
    <w:rsid w:val="004927FF"/>
    <w:rsid w:val="004944E4"/>
    <w:rsid w:val="00496C14"/>
    <w:rsid w:val="004A2851"/>
    <w:rsid w:val="004A6167"/>
    <w:rsid w:val="004B3038"/>
    <w:rsid w:val="004B4A4B"/>
    <w:rsid w:val="004B70D1"/>
    <w:rsid w:val="004C448B"/>
    <w:rsid w:val="004C53B6"/>
    <w:rsid w:val="004D5D28"/>
    <w:rsid w:val="004E1515"/>
    <w:rsid w:val="004E2A16"/>
    <w:rsid w:val="004F4B52"/>
    <w:rsid w:val="005020B5"/>
    <w:rsid w:val="00526379"/>
    <w:rsid w:val="00527EC0"/>
    <w:rsid w:val="00547100"/>
    <w:rsid w:val="00555DE2"/>
    <w:rsid w:val="0058306B"/>
    <w:rsid w:val="00594539"/>
    <w:rsid w:val="00596DA6"/>
    <w:rsid w:val="00597486"/>
    <w:rsid w:val="005B61A3"/>
    <w:rsid w:val="005B7063"/>
    <w:rsid w:val="005C259D"/>
    <w:rsid w:val="005C2BA2"/>
    <w:rsid w:val="005C7B6A"/>
    <w:rsid w:val="005D1277"/>
    <w:rsid w:val="005D1BD4"/>
    <w:rsid w:val="005D5A68"/>
    <w:rsid w:val="005E24EF"/>
    <w:rsid w:val="005E3421"/>
    <w:rsid w:val="005E55D7"/>
    <w:rsid w:val="00606E48"/>
    <w:rsid w:val="006071A2"/>
    <w:rsid w:val="00633775"/>
    <w:rsid w:val="0063781A"/>
    <w:rsid w:val="006431AD"/>
    <w:rsid w:val="006551CC"/>
    <w:rsid w:val="00660C89"/>
    <w:rsid w:val="00665918"/>
    <w:rsid w:val="00675C69"/>
    <w:rsid w:val="0068482A"/>
    <w:rsid w:val="00686580"/>
    <w:rsid w:val="0069089D"/>
    <w:rsid w:val="00693D28"/>
    <w:rsid w:val="006A08B5"/>
    <w:rsid w:val="006A79D0"/>
    <w:rsid w:val="006B164D"/>
    <w:rsid w:val="006D3E38"/>
    <w:rsid w:val="00703CC9"/>
    <w:rsid w:val="0071503D"/>
    <w:rsid w:val="0072144E"/>
    <w:rsid w:val="0072637E"/>
    <w:rsid w:val="0072763A"/>
    <w:rsid w:val="00750155"/>
    <w:rsid w:val="007506D6"/>
    <w:rsid w:val="00753F97"/>
    <w:rsid w:val="00754E44"/>
    <w:rsid w:val="00763E85"/>
    <w:rsid w:val="00772FF3"/>
    <w:rsid w:val="00773C43"/>
    <w:rsid w:val="007A3126"/>
    <w:rsid w:val="007B135B"/>
    <w:rsid w:val="007C393E"/>
    <w:rsid w:val="007D6D96"/>
    <w:rsid w:val="007E51B4"/>
    <w:rsid w:val="007E698B"/>
    <w:rsid w:val="007F184B"/>
    <w:rsid w:val="00814262"/>
    <w:rsid w:val="00815FF8"/>
    <w:rsid w:val="008242B8"/>
    <w:rsid w:val="0084025C"/>
    <w:rsid w:val="008653A0"/>
    <w:rsid w:val="00870CD8"/>
    <w:rsid w:val="00885CC6"/>
    <w:rsid w:val="00897E46"/>
    <w:rsid w:val="008B7E7B"/>
    <w:rsid w:val="008C15AD"/>
    <w:rsid w:val="008C3E77"/>
    <w:rsid w:val="008E3044"/>
    <w:rsid w:val="008F2B31"/>
    <w:rsid w:val="008F4D7D"/>
    <w:rsid w:val="008F566E"/>
    <w:rsid w:val="008F6785"/>
    <w:rsid w:val="00901ECE"/>
    <w:rsid w:val="009049A9"/>
    <w:rsid w:val="0090584E"/>
    <w:rsid w:val="00956584"/>
    <w:rsid w:val="0096410C"/>
    <w:rsid w:val="00967B52"/>
    <w:rsid w:val="009A042B"/>
    <w:rsid w:val="009A1502"/>
    <w:rsid w:val="009B5D8B"/>
    <w:rsid w:val="009C54B7"/>
    <w:rsid w:val="009D7696"/>
    <w:rsid w:val="009F1982"/>
    <w:rsid w:val="009F696E"/>
    <w:rsid w:val="00A152EE"/>
    <w:rsid w:val="00A17F56"/>
    <w:rsid w:val="00A23184"/>
    <w:rsid w:val="00A353CE"/>
    <w:rsid w:val="00A45DEA"/>
    <w:rsid w:val="00A45E22"/>
    <w:rsid w:val="00A5126E"/>
    <w:rsid w:val="00A533C9"/>
    <w:rsid w:val="00A552B5"/>
    <w:rsid w:val="00A55B88"/>
    <w:rsid w:val="00A55BA9"/>
    <w:rsid w:val="00A632A2"/>
    <w:rsid w:val="00A66329"/>
    <w:rsid w:val="00A67D40"/>
    <w:rsid w:val="00A70DC9"/>
    <w:rsid w:val="00A76FCA"/>
    <w:rsid w:val="00A77FB7"/>
    <w:rsid w:val="00A86775"/>
    <w:rsid w:val="00AA02E4"/>
    <w:rsid w:val="00AA515C"/>
    <w:rsid w:val="00AA5697"/>
    <w:rsid w:val="00AD0094"/>
    <w:rsid w:val="00AD46FD"/>
    <w:rsid w:val="00AE2839"/>
    <w:rsid w:val="00AF0C7A"/>
    <w:rsid w:val="00B00808"/>
    <w:rsid w:val="00B02898"/>
    <w:rsid w:val="00B02CB5"/>
    <w:rsid w:val="00B03400"/>
    <w:rsid w:val="00B0346A"/>
    <w:rsid w:val="00B25905"/>
    <w:rsid w:val="00B52C32"/>
    <w:rsid w:val="00B53E1F"/>
    <w:rsid w:val="00B5440D"/>
    <w:rsid w:val="00B55E0D"/>
    <w:rsid w:val="00B657C5"/>
    <w:rsid w:val="00B760C5"/>
    <w:rsid w:val="00B76C0D"/>
    <w:rsid w:val="00B92478"/>
    <w:rsid w:val="00BA6AAB"/>
    <w:rsid w:val="00BB7A37"/>
    <w:rsid w:val="00BC58A6"/>
    <w:rsid w:val="00BD0740"/>
    <w:rsid w:val="00BD159F"/>
    <w:rsid w:val="00BD2CFD"/>
    <w:rsid w:val="00BD5418"/>
    <w:rsid w:val="00BE5D91"/>
    <w:rsid w:val="00BF37B0"/>
    <w:rsid w:val="00BF3DDF"/>
    <w:rsid w:val="00BF3FD5"/>
    <w:rsid w:val="00C01199"/>
    <w:rsid w:val="00C4588B"/>
    <w:rsid w:val="00C57057"/>
    <w:rsid w:val="00C72A5C"/>
    <w:rsid w:val="00C77A83"/>
    <w:rsid w:val="00C90053"/>
    <w:rsid w:val="00C94E78"/>
    <w:rsid w:val="00CA6275"/>
    <w:rsid w:val="00CA65CC"/>
    <w:rsid w:val="00CC095C"/>
    <w:rsid w:val="00CC5919"/>
    <w:rsid w:val="00CD5F25"/>
    <w:rsid w:val="00CE69FE"/>
    <w:rsid w:val="00CF3598"/>
    <w:rsid w:val="00D01D26"/>
    <w:rsid w:val="00D209BD"/>
    <w:rsid w:val="00D30BC8"/>
    <w:rsid w:val="00D32E12"/>
    <w:rsid w:val="00D42FE2"/>
    <w:rsid w:val="00D46316"/>
    <w:rsid w:val="00D46DA1"/>
    <w:rsid w:val="00D46E07"/>
    <w:rsid w:val="00D512FE"/>
    <w:rsid w:val="00D534CF"/>
    <w:rsid w:val="00D53FE8"/>
    <w:rsid w:val="00D5492F"/>
    <w:rsid w:val="00D604F0"/>
    <w:rsid w:val="00D63B43"/>
    <w:rsid w:val="00DA0241"/>
    <w:rsid w:val="00DA1A83"/>
    <w:rsid w:val="00DB6630"/>
    <w:rsid w:val="00DE1AD7"/>
    <w:rsid w:val="00DE6093"/>
    <w:rsid w:val="00DF044A"/>
    <w:rsid w:val="00DF4583"/>
    <w:rsid w:val="00E116E5"/>
    <w:rsid w:val="00E36CDE"/>
    <w:rsid w:val="00E438DD"/>
    <w:rsid w:val="00E4542E"/>
    <w:rsid w:val="00E50BB7"/>
    <w:rsid w:val="00E55286"/>
    <w:rsid w:val="00E83E95"/>
    <w:rsid w:val="00E85C4C"/>
    <w:rsid w:val="00EB2B80"/>
    <w:rsid w:val="00EB7E0B"/>
    <w:rsid w:val="00EC3FD4"/>
    <w:rsid w:val="00ED2C9C"/>
    <w:rsid w:val="00EE12F4"/>
    <w:rsid w:val="00EE31C7"/>
    <w:rsid w:val="00EE79A2"/>
    <w:rsid w:val="00F15FA1"/>
    <w:rsid w:val="00F43422"/>
    <w:rsid w:val="00F47169"/>
    <w:rsid w:val="00F54EE6"/>
    <w:rsid w:val="00F72364"/>
    <w:rsid w:val="00F952BC"/>
    <w:rsid w:val="00FA60AA"/>
    <w:rsid w:val="00FC7D37"/>
    <w:rsid w:val="00FD260D"/>
    <w:rsid w:val="00FE0C6D"/>
    <w:rsid w:val="00FE2D8E"/>
    <w:rsid w:val="00FE4B0E"/>
    <w:rsid w:val="00FF0B94"/>
    <w:rsid w:val="00FF3CD3"/>
    <w:rsid w:val="00FF6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77C"/>
  <w15:docId w15:val="{CB6058B5-8468-43FD-8335-434125A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14"/>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6A08B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fr-FR" w:eastAsia="en-US"/>
    </w:rPr>
  </w:style>
  <w:style w:type="paragraph" w:styleId="Balk5">
    <w:name w:val="heading 5"/>
    <w:basedOn w:val="Normal"/>
    <w:next w:val="Normal"/>
    <w:link w:val="Balk5Char"/>
    <w:uiPriority w:val="9"/>
    <w:unhideWhenUsed/>
    <w:qFormat/>
    <w:rsid w:val="006A08B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C14"/>
    <w:rPr>
      <w:color w:val="0000FF"/>
      <w:u w:val="single"/>
    </w:rPr>
  </w:style>
  <w:style w:type="paragraph" w:styleId="AklamaMetni">
    <w:name w:val="annotation text"/>
    <w:basedOn w:val="Normal"/>
    <w:link w:val="AklamaMetniChar"/>
    <w:unhideWhenUsed/>
    <w:rsid w:val="00496C14"/>
    <w:rPr>
      <w:sz w:val="20"/>
      <w:szCs w:val="20"/>
    </w:rPr>
  </w:style>
  <w:style w:type="character" w:customStyle="1" w:styleId="AklamaMetniChar">
    <w:name w:val="Açıklama Metni Char"/>
    <w:basedOn w:val="VarsaylanParagrafYazTipi"/>
    <w:link w:val="AklamaMetni"/>
    <w:rsid w:val="00496C14"/>
    <w:rPr>
      <w:rFonts w:ascii="Times New Roman" w:eastAsiaTheme="minorEastAsia" w:hAnsi="Times New Roman" w:cs="Times New Roman"/>
      <w:sz w:val="20"/>
      <w:szCs w:val="20"/>
      <w:lang w:eastAsia="tr-TR"/>
    </w:rPr>
  </w:style>
  <w:style w:type="paragraph" w:styleId="GvdeMetni">
    <w:name w:val="Body Text"/>
    <w:basedOn w:val="Normal"/>
    <w:link w:val="GvdeMetniChar"/>
    <w:uiPriority w:val="99"/>
    <w:unhideWhenUsed/>
    <w:rsid w:val="00496C14"/>
    <w:pPr>
      <w:spacing w:before="100" w:beforeAutospacing="1" w:after="100" w:afterAutospacing="1"/>
    </w:pPr>
  </w:style>
  <w:style w:type="character" w:customStyle="1" w:styleId="GvdeMetniChar">
    <w:name w:val="Gövde Metni Char"/>
    <w:basedOn w:val="VarsaylanParagrafYazTipi"/>
    <w:link w:val="GvdeMetni"/>
    <w:uiPriority w:val="99"/>
    <w:rsid w:val="00496C14"/>
    <w:rPr>
      <w:rFonts w:ascii="Times New Roman" w:eastAsiaTheme="minorEastAsia" w:hAnsi="Times New Roman" w:cs="Times New Roman"/>
      <w:sz w:val="24"/>
      <w:szCs w:val="24"/>
      <w:lang w:eastAsia="tr-TR"/>
    </w:rPr>
  </w:style>
  <w:style w:type="paragraph" w:styleId="ListeParagraf">
    <w:name w:val="List Paragraph"/>
    <w:aliases w:val="Table/Figure Heading,Colorful List - Accent 11,List of pictures,Bullets,References,Liste couleur - Accent 11,numération,Bullet points round,Dot pt,F5 List Paragraph,List Paragraph1,No Spacing1,List Paragraph Char Char Char,Bullet 1,L"/>
    <w:basedOn w:val="Normal"/>
    <w:link w:val="ListeParagrafChar"/>
    <w:uiPriority w:val="34"/>
    <w:qFormat/>
    <w:rsid w:val="00496C14"/>
    <w:pPr>
      <w:spacing w:before="100" w:beforeAutospacing="1" w:after="100" w:afterAutospacing="1"/>
    </w:pPr>
  </w:style>
  <w:style w:type="paragraph" w:customStyle="1" w:styleId="heading1a">
    <w:name w:val="heading1a"/>
    <w:basedOn w:val="Normal"/>
    <w:rsid w:val="00496C14"/>
    <w:pPr>
      <w:spacing w:before="100" w:beforeAutospacing="1" w:after="100" w:afterAutospacing="1"/>
    </w:pPr>
  </w:style>
  <w:style w:type="paragraph" w:customStyle="1" w:styleId="chapternumber">
    <w:name w:val="chapternumber"/>
    <w:basedOn w:val="Normal"/>
    <w:rsid w:val="00496C14"/>
    <w:pPr>
      <w:spacing w:before="100" w:beforeAutospacing="1" w:after="100" w:afterAutospacing="1"/>
    </w:pPr>
  </w:style>
  <w:style w:type="character" w:styleId="AklamaBavurusu">
    <w:name w:val="annotation reference"/>
    <w:basedOn w:val="VarsaylanParagrafYazTipi"/>
    <w:unhideWhenUsed/>
    <w:rsid w:val="00496C14"/>
    <w:rPr>
      <w:sz w:val="16"/>
      <w:szCs w:val="16"/>
    </w:rPr>
  </w:style>
  <w:style w:type="character" w:styleId="Gl">
    <w:name w:val="Strong"/>
    <w:basedOn w:val="VarsaylanParagrafYazTipi"/>
    <w:uiPriority w:val="22"/>
    <w:qFormat/>
    <w:rsid w:val="00496C14"/>
    <w:rPr>
      <w:b/>
      <w:bCs/>
    </w:rPr>
  </w:style>
  <w:style w:type="paragraph" w:styleId="BalonMetni">
    <w:name w:val="Balloon Text"/>
    <w:basedOn w:val="Normal"/>
    <w:link w:val="BalonMetniChar"/>
    <w:uiPriority w:val="99"/>
    <w:semiHidden/>
    <w:unhideWhenUsed/>
    <w:rsid w:val="00496C1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C14"/>
    <w:rPr>
      <w:rFonts w:ascii="Segoe UI" w:eastAsiaTheme="minorEastAsia"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C4588B"/>
    <w:rPr>
      <w:b/>
      <w:bCs/>
    </w:rPr>
  </w:style>
  <w:style w:type="character" w:customStyle="1" w:styleId="AklamaKonusuChar">
    <w:name w:val="Açıklama Konusu Char"/>
    <w:basedOn w:val="AklamaMetniChar"/>
    <w:link w:val="AklamaKonusu"/>
    <w:uiPriority w:val="99"/>
    <w:semiHidden/>
    <w:rsid w:val="00C4588B"/>
    <w:rPr>
      <w:rFonts w:ascii="Times New Roman" w:eastAsiaTheme="minorEastAsia" w:hAnsi="Times New Roman" w:cs="Times New Roman"/>
      <w:b/>
      <w:bCs/>
      <w:sz w:val="20"/>
      <w:szCs w:val="20"/>
      <w:lang w:eastAsia="tr-TR"/>
    </w:rPr>
  </w:style>
  <w:style w:type="paragraph" w:styleId="GvdeMetniGirintisi">
    <w:name w:val="Body Text Indent"/>
    <w:basedOn w:val="Normal"/>
    <w:link w:val="GvdeMetniGirintisiChar"/>
    <w:uiPriority w:val="99"/>
    <w:unhideWhenUsed/>
    <w:rsid w:val="00C77A83"/>
    <w:pPr>
      <w:widowControl w:val="0"/>
      <w:autoSpaceDE w:val="0"/>
      <w:autoSpaceDN w:val="0"/>
      <w:spacing w:after="120"/>
      <w:ind w:left="283"/>
    </w:pPr>
    <w:rPr>
      <w:rFonts w:ascii="Arial" w:eastAsia="Arial" w:hAnsi="Arial"/>
      <w:sz w:val="22"/>
      <w:szCs w:val="22"/>
      <w:lang w:val="en-GB" w:eastAsia="sq"/>
    </w:rPr>
  </w:style>
  <w:style w:type="character" w:customStyle="1" w:styleId="GvdeMetniGirintisiChar">
    <w:name w:val="Gövde Metni Girintisi Char"/>
    <w:basedOn w:val="VarsaylanParagrafYazTipi"/>
    <w:link w:val="GvdeMetniGirintisi"/>
    <w:uiPriority w:val="99"/>
    <w:rsid w:val="00C77A83"/>
    <w:rPr>
      <w:rFonts w:ascii="Arial" w:eastAsia="Arial" w:hAnsi="Arial" w:cs="Times New Roman"/>
      <w:lang w:val="en-GB" w:eastAsia="sq"/>
    </w:rPr>
  </w:style>
  <w:style w:type="paragraph" w:styleId="HTMLncedenBiimlendirilmi">
    <w:name w:val="HTML Preformatted"/>
    <w:basedOn w:val="Normal"/>
    <w:link w:val="HTMLncedenBiimlendirilmiChar"/>
    <w:uiPriority w:val="99"/>
    <w:semiHidden/>
    <w:unhideWhenUsed/>
    <w:rsid w:val="003F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F212A"/>
    <w:rPr>
      <w:rFonts w:ascii="Courier New" w:eastAsia="Times New Roman" w:hAnsi="Courier New" w:cs="Courier New"/>
      <w:sz w:val="20"/>
      <w:szCs w:val="20"/>
      <w:lang w:eastAsia="tr-TR"/>
    </w:rPr>
  </w:style>
  <w:style w:type="paragraph" w:styleId="Dzeltme">
    <w:name w:val="Revision"/>
    <w:hidden/>
    <w:uiPriority w:val="99"/>
    <w:semiHidden/>
    <w:rsid w:val="001D786A"/>
    <w:pPr>
      <w:spacing w:after="0" w:line="240" w:lineRule="auto"/>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B02898"/>
    <w:rPr>
      <w:color w:val="954F72" w:themeColor="followedHyperlink"/>
      <w:u w:val="single"/>
    </w:rPr>
  </w:style>
  <w:style w:type="paragraph" w:styleId="KonuBal">
    <w:name w:val="Title"/>
    <w:basedOn w:val="Normal"/>
    <w:link w:val="KonuBalChar"/>
    <w:qFormat/>
    <w:rsid w:val="0072144E"/>
    <w:pPr>
      <w:jc w:val="center"/>
    </w:pPr>
    <w:rPr>
      <w:rFonts w:eastAsia="Times New Roman"/>
      <w:sz w:val="28"/>
      <w:lang w:val="en-US" w:eastAsia="en-US"/>
    </w:rPr>
  </w:style>
  <w:style w:type="character" w:customStyle="1" w:styleId="KonuBalChar">
    <w:name w:val="Konu Başlığı Char"/>
    <w:basedOn w:val="VarsaylanParagrafYazTipi"/>
    <w:link w:val="KonuBal"/>
    <w:rsid w:val="0072144E"/>
    <w:rPr>
      <w:rFonts w:ascii="Times New Roman" w:eastAsia="Times New Roman" w:hAnsi="Times New Roman" w:cs="Times New Roman"/>
      <w:sz w:val="28"/>
      <w:szCs w:val="24"/>
      <w:lang w:val="en-US"/>
    </w:rPr>
  </w:style>
  <w:style w:type="character" w:customStyle="1" w:styleId="Balk1Char">
    <w:name w:val="Başlık 1 Char"/>
    <w:basedOn w:val="VarsaylanParagrafYazTipi"/>
    <w:link w:val="Balk1"/>
    <w:uiPriority w:val="9"/>
    <w:rsid w:val="006A08B5"/>
    <w:rPr>
      <w:rFonts w:asciiTheme="majorHAnsi" w:eastAsiaTheme="majorEastAsia" w:hAnsiTheme="majorHAnsi" w:cstheme="majorBidi"/>
      <w:b/>
      <w:bCs/>
      <w:color w:val="2E74B5" w:themeColor="accent1" w:themeShade="BF"/>
      <w:sz w:val="28"/>
      <w:szCs w:val="28"/>
      <w:lang w:val="fr-FR"/>
    </w:rPr>
  </w:style>
  <w:style w:type="character" w:customStyle="1" w:styleId="Balk5Char">
    <w:name w:val="Başlık 5 Char"/>
    <w:basedOn w:val="VarsaylanParagrafYazTipi"/>
    <w:link w:val="Balk5"/>
    <w:uiPriority w:val="9"/>
    <w:rsid w:val="006A08B5"/>
    <w:rPr>
      <w:rFonts w:asciiTheme="majorHAnsi" w:eastAsiaTheme="majorEastAsia" w:hAnsiTheme="majorHAnsi" w:cstheme="majorBidi"/>
      <w:color w:val="2E74B5" w:themeColor="accent1" w:themeShade="BF"/>
      <w:lang w:val="fr-FR"/>
    </w:rPr>
  </w:style>
  <w:style w:type="character" w:customStyle="1" w:styleId="ListeParagrafChar">
    <w:name w:val="Liste Paragraf Char"/>
    <w:aliases w:val="Table/Figure Heading Char,Colorful List - Accent 11 Char,List of pictures Char,Bullets Char,References Char,Liste couleur - Accent 11 Char,numération Char,Bullet points round Char,Dot pt Char,F5 List Paragraph Char,No Spacing1 Char"/>
    <w:link w:val="ListeParagraf"/>
    <w:uiPriority w:val="34"/>
    <w:qFormat/>
    <w:locked/>
    <w:rsid w:val="006A08B5"/>
    <w:rPr>
      <w:rFonts w:ascii="Times New Roman" w:eastAsiaTheme="minorEastAsia" w:hAnsi="Times New Roman" w:cs="Times New Roman"/>
      <w:sz w:val="24"/>
      <w:szCs w:val="24"/>
      <w:lang w:eastAsia="tr-TR"/>
    </w:rPr>
  </w:style>
  <w:style w:type="character" w:customStyle="1" w:styleId="Gvdemetni0">
    <w:name w:val="Gövde metni_"/>
    <w:basedOn w:val="VarsaylanParagrafYazTipi"/>
    <w:link w:val="Gvdemetni1"/>
    <w:rsid w:val="00675C69"/>
    <w:rPr>
      <w:rFonts w:ascii="Times New Roman" w:eastAsia="Times New Roman" w:hAnsi="Times New Roman" w:cs="Times New Roman"/>
    </w:rPr>
  </w:style>
  <w:style w:type="paragraph" w:customStyle="1" w:styleId="Gvdemetni1">
    <w:name w:val="Gövde metni"/>
    <w:basedOn w:val="Normal"/>
    <w:link w:val="Gvdemetni0"/>
    <w:rsid w:val="00675C69"/>
    <w:pPr>
      <w:widowControl w:val="0"/>
      <w:spacing w:after="240"/>
    </w:pPr>
    <w:rPr>
      <w:rFonts w:eastAsia="Times New Roman"/>
      <w:sz w:val="22"/>
      <w:szCs w:val="22"/>
      <w:lang w:eastAsia="en-US"/>
    </w:rPr>
  </w:style>
  <w:style w:type="paragraph" w:styleId="stBilgi">
    <w:name w:val="header"/>
    <w:basedOn w:val="Normal"/>
    <w:link w:val="stBilgiChar"/>
    <w:uiPriority w:val="99"/>
    <w:unhideWhenUsed/>
    <w:rsid w:val="003A3376"/>
    <w:pPr>
      <w:tabs>
        <w:tab w:val="center" w:pos="4536"/>
        <w:tab w:val="right" w:pos="9072"/>
      </w:tabs>
    </w:pPr>
  </w:style>
  <w:style w:type="character" w:customStyle="1" w:styleId="stBilgiChar">
    <w:name w:val="Üst Bilgi Char"/>
    <w:basedOn w:val="VarsaylanParagrafYazTipi"/>
    <w:link w:val="stBilgi"/>
    <w:uiPriority w:val="99"/>
    <w:rsid w:val="003A3376"/>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3A3376"/>
    <w:pPr>
      <w:tabs>
        <w:tab w:val="center" w:pos="4536"/>
        <w:tab w:val="right" w:pos="9072"/>
      </w:tabs>
    </w:pPr>
  </w:style>
  <w:style w:type="character" w:customStyle="1" w:styleId="AltBilgiChar">
    <w:name w:val="Alt Bilgi Char"/>
    <w:basedOn w:val="VarsaylanParagrafYazTipi"/>
    <w:link w:val="AltBilgi"/>
    <w:uiPriority w:val="99"/>
    <w:rsid w:val="003A3376"/>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545">
      <w:bodyDiv w:val="1"/>
      <w:marLeft w:val="0"/>
      <w:marRight w:val="0"/>
      <w:marTop w:val="0"/>
      <w:marBottom w:val="0"/>
      <w:divBdr>
        <w:top w:val="none" w:sz="0" w:space="0" w:color="auto"/>
        <w:left w:val="none" w:sz="0" w:space="0" w:color="auto"/>
        <w:bottom w:val="none" w:sz="0" w:space="0" w:color="auto"/>
        <w:right w:val="none" w:sz="0" w:space="0" w:color="auto"/>
      </w:divBdr>
      <w:divsChild>
        <w:div w:id="500509305">
          <w:marLeft w:val="0"/>
          <w:marRight w:val="0"/>
          <w:marTop w:val="90"/>
          <w:marBottom w:val="0"/>
          <w:divBdr>
            <w:top w:val="none" w:sz="0" w:space="0" w:color="auto"/>
            <w:left w:val="none" w:sz="0" w:space="0" w:color="auto"/>
            <w:bottom w:val="none" w:sz="0" w:space="0" w:color="auto"/>
            <w:right w:val="none" w:sz="0" w:space="0" w:color="auto"/>
          </w:divBdr>
          <w:divsChild>
            <w:div w:id="115216863">
              <w:marLeft w:val="0"/>
              <w:marRight w:val="0"/>
              <w:marTop w:val="0"/>
              <w:marBottom w:val="405"/>
              <w:divBdr>
                <w:top w:val="none" w:sz="0" w:space="0" w:color="auto"/>
                <w:left w:val="none" w:sz="0" w:space="0" w:color="auto"/>
                <w:bottom w:val="none" w:sz="0" w:space="0" w:color="auto"/>
                <w:right w:val="none" w:sz="0" w:space="0" w:color="auto"/>
              </w:divBdr>
              <w:divsChild>
                <w:div w:id="1847750430">
                  <w:marLeft w:val="0"/>
                  <w:marRight w:val="0"/>
                  <w:marTop w:val="0"/>
                  <w:marBottom w:val="0"/>
                  <w:divBdr>
                    <w:top w:val="none" w:sz="0" w:space="0" w:color="auto"/>
                    <w:left w:val="none" w:sz="0" w:space="0" w:color="auto"/>
                    <w:bottom w:val="none" w:sz="0" w:space="0" w:color="auto"/>
                    <w:right w:val="none" w:sz="0" w:space="0" w:color="auto"/>
                  </w:divBdr>
                  <w:divsChild>
                    <w:div w:id="792139880">
                      <w:marLeft w:val="0"/>
                      <w:marRight w:val="0"/>
                      <w:marTop w:val="0"/>
                      <w:marBottom w:val="0"/>
                      <w:divBdr>
                        <w:top w:val="none" w:sz="0" w:space="0" w:color="auto"/>
                        <w:left w:val="none" w:sz="0" w:space="0" w:color="auto"/>
                        <w:bottom w:val="none" w:sz="0" w:space="0" w:color="auto"/>
                        <w:right w:val="none" w:sz="0" w:space="0" w:color="auto"/>
                      </w:divBdr>
                      <w:divsChild>
                        <w:div w:id="400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ybsatinalma@ilbank.gov.tr" TargetMode="Externa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3EFD-84DC-43FE-BD75-3FF073E8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1606</Words>
  <Characters>9160</Characters>
  <Application>Microsoft Office Word</Application>
  <DocSecurity>0</DocSecurity>
  <Lines>76</Lines>
  <Paragraphs>21</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atakan gülyurdu</dc:creator>
  <cp:keywords>TD-fm60hhw8, N-kq84q69a</cp:keywords>
  <dc:description/>
  <cp:lastModifiedBy>Eyüp Ayaz</cp:lastModifiedBy>
  <cp:revision>17</cp:revision>
  <dcterms:created xsi:type="dcterms:W3CDTF">2024-07-10T07:50:00Z</dcterms:created>
  <dcterms:modified xsi:type="dcterms:W3CDTF">2025-02-05T11:45:00Z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3a66b1f4-96c9-47a6-b60d-28f906d64dc0</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