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A9CD" w14:textId="77777777" w:rsidR="005959E1" w:rsidRDefault="003D354A">
      <w:pPr>
        <w:pStyle w:val="Gvdemetni0"/>
        <w:spacing w:after="240"/>
        <w:jc w:val="center"/>
        <w:rPr>
          <w:sz w:val="24"/>
          <w:szCs w:val="24"/>
        </w:rPr>
      </w:pPr>
      <w:r>
        <w:rPr>
          <w:rStyle w:val="Gvdemetni"/>
          <w:b/>
          <w:bCs/>
          <w:sz w:val="24"/>
          <w:szCs w:val="24"/>
        </w:rPr>
        <w:t>Türkiye Earthquake Recover and Reconstruction Project (TERRP)</w:t>
      </w:r>
    </w:p>
    <w:p w14:paraId="675504CC" w14:textId="77777777" w:rsidR="005959E1" w:rsidRDefault="003D354A">
      <w:pPr>
        <w:pStyle w:val="Gvdemetni0"/>
        <w:spacing w:after="240"/>
        <w:jc w:val="center"/>
        <w:rPr>
          <w:sz w:val="24"/>
          <w:szCs w:val="24"/>
        </w:rPr>
      </w:pPr>
      <w:r>
        <w:rPr>
          <w:rStyle w:val="Gvdemetni"/>
          <w:b/>
          <w:bCs/>
          <w:sz w:val="24"/>
          <w:szCs w:val="24"/>
        </w:rPr>
        <w:t>Consultant Services / Individual OHS Consultant</w:t>
      </w:r>
    </w:p>
    <w:p w14:paraId="43A5F275" w14:textId="77777777" w:rsidR="005959E1" w:rsidRDefault="003D354A">
      <w:pPr>
        <w:pStyle w:val="Gvdemetni0"/>
        <w:spacing w:after="1000"/>
        <w:jc w:val="center"/>
        <w:rPr>
          <w:sz w:val="24"/>
          <w:szCs w:val="24"/>
        </w:rPr>
      </w:pPr>
      <w:r>
        <w:rPr>
          <w:rStyle w:val="Gvdemetni"/>
          <w:b/>
          <w:bCs/>
          <w:sz w:val="24"/>
          <w:szCs w:val="24"/>
        </w:rPr>
        <w:t>Terms of Reference</w:t>
      </w:r>
    </w:p>
    <w:p w14:paraId="50533F01" w14:textId="77777777" w:rsidR="005959E1" w:rsidRDefault="003D354A">
      <w:pPr>
        <w:pStyle w:val="Balk10"/>
        <w:keepNext/>
        <w:keepLines/>
        <w:numPr>
          <w:ilvl w:val="0"/>
          <w:numId w:val="1"/>
        </w:numPr>
        <w:tabs>
          <w:tab w:val="left" w:pos="730"/>
        </w:tabs>
        <w:spacing w:after="240"/>
        <w:jc w:val="both"/>
      </w:pPr>
      <w:bookmarkStart w:id="0" w:name="bookmark0"/>
      <w:r>
        <w:rPr>
          <w:rStyle w:val="Balk1"/>
          <w:b/>
          <w:bCs/>
        </w:rPr>
        <w:t>Backround</w:t>
      </w:r>
      <w:bookmarkEnd w:id="0"/>
    </w:p>
    <w:p w14:paraId="24A4F4AA" w14:textId="77777777" w:rsidR="005959E1" w:rsidRDefault="003D354A">
      <w:pPr>
        <w:pStyle w:val="Gvdemetni0"/>
        <w:spacing w:after="240"/>
        <w:ind w:firstLine="580"/>
        <w:jc w:val="both"/>
      </w:pPr>
      <w:r>
        <w:rPr>
          <w:rStyle w:val="Gvdemetni"/>
        </w:rPr>
        <w:t>As part of a broader package of the World Bank Group support to the Government of Türkiye (GoT) after the February 2023 earthquakes, the Türkiye Earthquake Recovery and Reconstruction Project (TERRP) will provide a portion of the massive financing needed to support recovery and reconstruction efforts in priority areas identified in the GoT needs assessment (i.e., health, municipal services, housing), complemented with capacity building and technical assistance. TERRP will support both activities addressing urgent health needs (such as provision of temporary health care facilities) as well as activities tackling equally critical municipal services needs but whose delivery will take longer due to their complexity and scale (such as reconstruction of municipal water and sanitation infrastructure). It will also support the second stage of housing reconstruction in affected rural areas. Moreover, TERRP has the potential to be a framework to crowd in additional financing for resilient recovery of disaster-affected areas from other development partners of the World Bank and international financial institutions (IFIs).</w:t>
      </w:r>
    </w:p>
    <w:p w14:paraId="674AD56D" w14:textId="77777777" w:rsidR="005959E1" w:rsidRDefault="003D354A">
      <w:pPr>
        <w:pStyle w:val="Gvdemetni0"/>
        <w:spacing w:after="240"/>
        <w:ind w:firstLine="580"/>
        <w:jc w:val="both"/>
      </w:pPr>
      <w:r>
        <w:rPr>
          <w:rStyle w:val="Gvdemetni"/>
        </w:rPr>
        <w:t>Within the scope of WBG Country Partnership Framework (CPF) for Türkiye for FY18-21, which was extended to cover the FY22-23 period through the Performance and Learning Review, TERRP will contribute to goals set out in Türkiye’s National Development Plan (NDP) and is aligned with the government’s post- earthquake recovery strategy set forth in the Government’s earthquake assessment report.</w:t>
      </w:r>
    </w:p>
    <w:p w14:paraId="3CEAB53A" w14:textId="77777777" w:rsidR="005959E1" w:rsidRDefault="003D354A">
      <w:pPr>
        <w:pStyle w:val="Gvdemetni0"/>
        <w:spacing w:after="240"/>
        <w:ind w:firstLine="580"/>
        <w:jc w:val="both"/>
      </w:pPr>
      <w:r>
        <w:rPr>
          <w:rStyle w:val="Gvdemetni"/>
        </w:rPr>
        <w:t>Türkiye Earthquake Recovery and Reconstruction Project was designed as emergency reconstruction loan. Due the impacts of the earthquake on the capacity of the municipalities in the earthquake affected cities, for this specific project, the Borrower is the Government of Türkiye, seeks to have İLBANK as the Project Implementing Agency, implement the project. Therefore, the Loan Agreement for the TERRP loan no.9580- TR for EUR 910,50 million between the World Bank and the Government of Türkiye, the Project Agreement between the World Bank and İLBANK were signed on 01/09/2023.</w:t>
      </w:r>
    </w:p>
    <w:p w14:paraId="13374ADD" w14:textId="77777777" w:rsidR="005959E1" w:rsidRDefault="003D354A">
      <w:pPr>
        <w:pStyle w:val="Gvdemetni0"/>
        <w:spacing w:after="240"/>
        <w:ind w:firstLine="580"/>
        <w:jc w:val="both"/>
      </w:pPr>
      <w:r>
        <w:rPr>
          <w:rStyle w:val="Gvdemetni"/>
        </w:rPr>
        <w:t>The amount of İLBANK loan is € 388,32 million and will be provided to municipalities located in the eleven provinces declared as disaster zones after the February 2023 earthquakes will be eligible under Component 1 (Adana, Adıyaman, Diyarbakir, Elazığ, Gaziantep, Hatay, Kahramanmaraş, Kilis, Malatya, Osmaniye, and Şanlıurfa, i.e., the earthquake-affected provinces).</w:t>
      </w:r>
    </w:p>
    <w:p w14:paraId="4B3FBD20" w14:textId="77777777" w:rsidR="005959E1" w:rsidRDefault="003D354A">
      <w:pPr>
        <w:pStyle w:val="Balk10"/>
        <w:keepNext/>
        <w:keepLines/>
        <w:numPr>
          <w:ilvl w:val="0"/>
          <w:numId w:val="1"/>
        </w:numPr>
        <w:tabs>
          <w:tab w:val="left" w:pos="730"/>
        </w:tabs>
        <w:spacing w:after="240"/>
        <w:jc w:val="both"/>
      </w:pPr>
      <w:bookmarkStart w:id="1" w:name="bookmark2"/>
      <w:r>
        <w:rPr>
          <w:rStyle w:val="Balk1"/>
          <w:b/>
          <w:bCs/>
        </w:rPr>
        <w:t>Project İLBANK Components</w:t>
      </w:r>
      <w:bookmarkEnd w:id="1"/>
    </w:p>
    <w:p w14:paraId="67476158" w14:textId="77777777" w:rsidR="005959E1" w:rsidRDefault="003D354A">
      <w:pPr>
        <w:pStyle w:val="Balk10"/>
        <w:keepNext/>
        <w:keepLines/>
        <w:spacing w:after="240"/>
        <w:ind w:firstLine="0"/>
        <w:jc w:val="both"/>
      </w:pPr>
      <w:r>
        <w:rPr>
          <w:rStyle w:val="Balk1"/>
          <w:b/>
          <w:bCs/>
        </w:rPr>
        <w:t>Component 1: Restoration of Municipal Infrastructure and Services</w:t>
      </w:r>
    </w:p>
    <w:p w14:paraId="386E5C50" w14:textId="77777777" w:rsidR="005959E1" w:rsidRDefault="003D354A">
      <w:pPr>
        <w:pStyle w:val="Gvdemetni0"/>
        <w:jc w:val="both"/>
      </w:pPr>
      <w:r>
        <w:rPr>
          <w:rStyle w:val="Gvdemetni"/>
        </w:rPr>
        <w:t>This component will finance civil works (including demolition as applicable), goods, consulting, and nonconsulting services needed to restore access to critical municipal services of affected people while enhancing disaster and climate resilience. This will include the medium-term rehabilitation and reconstruction of critical municipal infrastructure and facilities such as water, sanitation, stormwater drainage, municipal transport infrastructure, municipal solid waste management facilities, and fire and emergency response services. The component will also finance purchasing of equipment and vehicles in the short-term to restore municipal capacity for the provision of essential services. The component will also finance the preparation and/or review of related studies and construction supervision, which will include carrying out of local soil surveys, assessing climate-related hazards (e.g., flooding), and identifying options as needed/feasible for site selection and materials to ensure long-term resilience of the reconstructed municipal infrastructure to both seismic and climate risks.</w:t>
      </w:r>
    </w:p>
    <w:p w14:paraId="7CD83FC0" w14:textId="77777777" w:rsidR="005959E1" w:rsidRDefault="003D354A">
      <w:pPr>
        <w:pStyle w:val="Balk10"/>
        <w:keepNext/>
        <w:keepLines/>
        <w:ind w:firstLine="0"/>
        <w:jc w:val="both"/>
      </w:pPr>
      <w:bookmarkStart w:id="2" w:name="bookmark5"/>
      <w:r>
        <w:rPr>
          <w:rStyle w:val="Balk1"/>
          <w:b/>
          <w:bCs/>
        </w:rPr>
        <w:lastRenderedPageBreak/>
        <w:t>Subcomponent 1.1: Resilient rehabilitation and reconstruction of municipal infrastructure</w:t>
      </w:r>
      <w:bookmarkEnd w:id="2"/>
    </w:p>
    <w:p w14:paraId="0F12AF06" w14:textId="77777777" w:rsidR="005959E1" w:rsidRDefault="003D354A">
      <w:pPr>
        <w:pStyle w:val="Gvdemetni0"/>
        <w:jc w:val="both"/>
      </w:pPr>
      <w:r>
        <w:rPr>
          <w:rStyle w:val="Gvdemetni"/>
        </w:rPr>
        <w:t>(i)This subcomponent covers rehabilitation and reconstruction of existing municipal water, sanitation, wastewater, drainage, and solid waste management infrastructure damaged by the February 2023 Earthquakes, considering site-specific disaster and climate risks and design strengthening for extreme weather-related events; said activities include, inter alia:</w:t>
      </w:r>
    </w:p>
    <w:p w14:paraId="5AD13FD6" w14:textId="77777777" w:rsidR="005959E1" w:rsidRDefault="003D354A">
      <w:pPr>
        <w:pStyle w:val="Gvdemetni0"/>
        <w:numPr>
          <w:ilvl w:val="0"/>
          <w:numId w:val="2"/>
        </w:numPr>
        <w:tabs>
          <w:tab w:val="left" w:pos="946"/>
        </w:tabs>
        <w:ind w:left="940" w:hanging="360"/>
        <w:jc w:val="both"/>
      </w:pPr>
      <w:r>
        <w:rPr>
          <w:rStyle w:val="Gvdemetni"/>
        </w:rPr>
        <w:t>preparing and reviewing related studies for said works, including assessment, feasibility, and design studies with due consideration for climate and disaster risks, and including damage and needs assessments of, inter alia, below-ground water and sewage infrastructure; and carrying out construction supervision for said works;</w:t>
      </w:r>
    </w:p>
    <w:p w14:paraId="288AD999" w14:textId="77777777" w:rsidR="005959E1" w:rsidRDefault="003D354A">
      <w:pPr>
        <w:pStyle w:val="Gvdemetni0"/>
        <w:numPr>
          <w:ilvl w:val="0"/>
          <w:numId w:val="2"/>
        </w:numPr>
        <w:tabs>
          <w:tab w:val="left" w:pos="960"/>
        </w:tabs>
        <w:ind w:left="940" w:hanging="360"/>
        <w:jc w:val="both"/>
      </w:pPr>
      <w:r>
        <w:rPr>
          <w:rStyle w:val="Gvdemetni"/>
        </w:rPr>
        <w:t>repairing and reconstructing damaged water and sewage networks, water transmission lines, water treatment plants, wastewater treatment plants, and stormwater drainage to be more disaster and climate resilient, including, inter alia, adaptation to climate change and/or integration of climate- smart and/or nature-based technologies and solutions for climate change mitigation, as relevant;</w:t>
      </w:r>
    </w:p>
    <w:p w14:paraId="71CA88CA" w14:textId="77777777" w:rsidR="005959E1" w:rsidRDefault="003D354A">
      <w:pPr>
        <w:pStyle w:val="Gvdemetni0"/>
        <w:numPr>
          <w:ilvl w:val="0"/>
          <w:numId w:val="2"/>
        </w:numPr>
        <w:tabs>
          <w:tab w:val="left" w:pos="946"/>
        </w:tabs>
        <w:ind w:left="940" w:hanging="360"/>
        <w:jc w:val="both"/>
      </w:pPr>
      <w:r>
        <w:rPr>
          <w:rStyle w:val="Gvdemetni"/>
        </w:rPr>
        <w:t>installing temporary water and sanitation facilities for communities living in prefabricated container homes, including package wastewater treatment plants, solar thermal hot water collectors, and portable rainwater storages, as needed; and</w:t>
      </w:r>
    </w:p>
    <w:p w14:paraId="01EE8ECB" w14:textId="77777777" w:rsidR="005959E1" w:rsidRDefault="003D354A">
      <w:pPr>
        <w:pStyle w:val="Gvdemetni0"/>
        <w:numPr>
          <w:ilvl w:val="0"/>
          <w:numId w:val="2"/>
        </w:numPr>
        <w:tabs>
          <w:tab w:val="left" w:pos="960"/>
        </w:tabs>
        <w:ind w:firstLine="580"/>
        <w:jc w:val="both"/>
      </w:pPr>
      <w:r>
        <w:rPr>
          <w:rStyle w:val="Gvdemetni"/>
        </w:rPr>
        <w:t>Rehabilitating or reconstructing damaged municipal solid waste management facilities.</w:t>
      </w:r>
    </w:p>
    <w:p w14:paraId="37E8BA51" w14:textId="77777777" w:rsidR="005959E1" w:rsidRDefault="003D354A">
      <w:pPr>
        <w:pStyle w:val="Gvdemetni0"/>
        <w:numPr>
          <w:ilvl w:val="0"/>
          <w:numId w:val="3"/>
        </w:numPr>
        <w:tabs>
          <w:tab w:val="left" w:pos="390"/>
        </w:tabs>
        <w:jc w:val="both"/>
      </w:pPr>
      <w:r>
        <w:rPr>
          <w:rStyle w:val="Gvdemetni"/>
        </w:rPr>
        <w:t>The subcomponent also covers rehabilitation and reconstruction of municipal roads, bridges, underpasses, and associated infrastructure damaged by the February 2023 Earthquakes; said activities include:</w:t>
      </w:r>
    </w:p>
    <w:p w14:paraId="76409496" w14:textId="77777777" w:rsidR="005959E1" w:rsidRDefault="003D354A">
      <w:pPr>
        <w:pStyle w:val="Gvdemetni0"/>
        <w:ind w:left="940" w:hanging="360"/>
        <w:jc w:val="both"/>
      </w:pPr>
      <w:r>
        <w:rPr>
          <w:rStyle w:val="Gvdemetni"/>
        </w:rPr>
        <w:t>(a) preparing and reviewing related studies for said works, including assessment, feasibility, and design studies with due consideration for future climate and disaster risks, soil deformations, the use of high-performance water and weather resistant materials, and nature-based solutions, as relevant; and carrying out construction supervision for said works; and</w:t>
      </w:r>
    </w:p>
    <w:p w14:paraId="26912333" w14:textId="77777777" w:rsidR="005959E1" w:rsidRDefault="003D354A">
      <w:pPr>
        <w:pStyle w:val="Gvdemetni0"/>
        <w:spacing w:line="276" w:lineRule="auto"/>
        <w:ind w:left="740"/>
        <w:jc w:val="both"/>
      </w:pPr>
      <w:r>
        <w:rPr>
          <w:rStyle w:val="Gvdemetni"/>
        </w:rPr>
        <w:t>based on the studies and designs prepared under (ii)(a), repairing and reconstructing the damaged roads and associated infrastructure.</w:t>
      </w:r>
    </w:p>
    <w:p w14:paraId="290013CD" w14:textId="77777777" w:rsidR="005959E1" w:rsidRDefault="003D354A">
      <w:pPr>
        <w:pStyle w:val="Balk10"/>
        <w:keepNext/>
        <w:keepLines/>
        <w:ind w:firstLine="0"/>
        <w:jc w:val="both"/>
      </w:pPr>
      <w:bookmarkStart w:id="3" w:name="bookmark7"/>
      <w:r>
        <w:rPr>
          <w:rStyle w:val="Balk1"/>
          <w:b/>
          <w:bCs/>
        </w:rPr>
        <w:t>Subcomponent 1.2: Resilient recovery of municipal service facilities</w:t>
      </w:r>
      <w:bookmarkEnd w:id="3"/>
    </w:p>
    <w:p w14:paraId="030462C3" w14:textId="77777777" w:rsidR="005959E1" w:rsidRDefault="003D354A">
      <w:pPr>
        <w:pStyle w:val="Gvdemetni0"/>
        <w:jc w:val="both"/>
      </w:pPr>
      <w:r>
        <w:rPr>
          <w:rStyle w:val="Gvdemetni"/>
        </w:rPr>
        <w:t>This subcomponent will finance;</w:t>
      </w:r>
    </w:p>
    <w:p w14:paraId="5A4D8AA9" w14:textId="77777777" w:rsidR="005959E1" w:rsidRDefault="003D354A">
      <w:pPr>
        <w:pStyle w:val="Gvdemetni0"/>
        <w:jc w:val="both"/>
      </w:pPr>
      <w:r>
        <w:rPr>
          <w:rStyle w:val="Gvdemetni"/>
        </w:rPr>
        <w:t xml:space="preserve">( </w:t>
      </w:r>
      <w:r>
        <w:rPr>
          <w:rStyle w:val="Gvdemetni"/>
          <w:i/>
          <w:iCs/>
        </w:rPr>
        <w:t>i</w:t>
      </w:r>
      <w:r>
        <w:rPr>
          <w:rStyle w:val="Gvdemetni"/>
        </w:rPr>
        <w:t xml:space="preserve"> ) the rehabilitation and reconstruction of municipal service buildings damaged by the earthquakes at least Turkish Class C Energy Performance Certification standards with functional upgrades; said activities include, inter alia:</w:t>
      </w:r>
    </w:p>
    <w:p w14:paraId="6BCD5B99" w14:textId="77777777" w:rsidR="005959E1" w:rsidRDefault="003D354A">
      <w:pPr>
        <w:pStyle w:val="Gvdemetni0"/>
        <w:numPr>
          <w:ilvl w:val="0"/>
          <w:numId w:val="4"/>
        </w:numPr>
        <w:tabs>
          <w:tab w:val="left" w:pos="946"/>
        </w:tabs>
        <w:ind w:left="940" w:hanging="360"/>
        <w:jc w:val="both"/>
      </w:pPr>
      <w:r>
        <w:rPr>
          <w:rStyle w:val="Gvdemetni"/>
        </w:rPr>
        <w:t>installing prefabricated facilities to provide critical municipal services, including fire and emergency services;</w:t>
      </w:r>
    </w:p>
    <w:p w14:paraId="403FE422" w14:textId="77777777" w:rsidR="005959E1" w:rsidRDefault="003D354A">
      <w:pPr>
        <w:pStyle w:val="Gvdemetni0"/>
        <w:numPr>
          <w:ilvl w:val="0"/>
          <w:numId w:val="4"/>
        </w:numPr>
        <w:tabs>
          <w:tab w:val="left" w:pos="960"/>
        </w:tabs>
        <w:ind w:left="940" w:hanging="360"/>
        <w:jc w:val="both"/>
      </w:pPr>
      <w:r>
        <w:rPr>
          <w:rStyle w:val="Gvdemetni"/>
        </w:rPr>
        <w:t>repairing and strengthening of lightly damaged municipal service buildings, including fire stations and municipal utilities buildings; and</w:t>
      </w:r>
    </w:p>
    <w:p w14:paraId="6E1FC763" w14:textId="77777777" w:rsidR="005959E1" w:rsidRDefault="003D354A">
      <w:pPr>
        <w:pStyle w:val="Gvdemetni0"/>
        <w:numPr>
          <w:ilvl w:val="0"/>
          <w:numId w:val="4"/>
        </w:numPr>
        <w:tabs>
          <w:tab w:val="left" w:pos="946"/>
        </w:tabs>
        <w:ind w:left="940" w:hanging="360"/>
        <w:jc w:val="both"/>
      </w:pPr>
      <w:r>
        <w:rPr>
          <w:rStyle w:val="Gvdemetni"/>
        </w:rPr>
        <w:t>resilient and energy efficient reconstruction of destroyed, heavily damaged, and moderately damaged municipal service buildings, including, inter alia, municipal fire stations and municipal utilities buildings, in-situ or in new locations with lower exposure to geological and climate-related hazards (i.e., flooding, landslides).</w:t>
      </w:r>
    </w:p>
    <w:p w14:paraId="54311567" w14:textId="77777777" w:rsidR="005959E1" w:rsidRDefault="003D354A">
      <w:pPr>
        <w:pStyle w:val="Gvdemetni0"/>
        <w:jc w:val="both"/>
      </w:pPr>
      <w:r>
        <w:rPr>
          <w:rStyle w:val="Gvdemetni"/>
        </w:rPr>
        <w:t>(ii) Acquisition of emergency response and municipal services equipment and vehicles to restore municipal capacity to provide essential services impacted by the February 2023 Earthquakes (including, inter alia, firefighting and rescue vehicles and equipment, solid waste collection vehicles, buses, street sweeping vehicles).</w:t>
      </w:r>
    </w:p>
    <w:p w14:paraId="7A0EF4BE" w14:textId="77777777" w:rsidR="005959E1" w:rsidRDefault="003D354A">
      <w:pPr>
        <w:pStyle w:val="Balk10"/>
        <w:keepNext/>
        <w:keepLines/>
        <w:ind w:firstLine="0"/>
        <w:jc w:val="both"/>
      </w:pPr>
      <w:bookmarkStart w:id="4" w:name="bookmark9"/>
      <w:r>
        <w:rPr>
          <w:rStyle w:val="Balk1"/>
          <w:b/>
          <w:bCs/>
        </w:rPr>
        <w:lastRenderedPageBreak/>
        <w:t>Component 4.A: Project Management, Monitoring and Evaluation</w:t>
      </w:r>
      <w:bookmarkEnd w:id="4"/>
    </w:p>
    <w:p w14:paraId="2AD0258B" w14:textId="77777777" w:rsidR="005959E1" w:rsidRDefault="003D354A">
      <w:pPr>
        <w:pStyle w:val="Gvdemetni0"/>
        <w:jc w:val="both"/>
      </w:pPr>
      <w:r>
        <w:rPr>
          <w:rStyle w:val="Gvdemetni"/>
        </w:rPr>
        <w:t>This component will finance consulting and non-consulting services, goods, training, and operating costs for supporting the Implementing Agencies in project management and implementation activities under the Project, including for, but not limited to, monitoring and evaluation, reporting, procurement, financial management, environmental and social management, grievance redress mechanism, citizen engagement, and project communication and outreach. It will also support consulting services and training to strengthen the capacity of the Implementing Agencies to mainstream climate mitigation and adaptation in project activities. It will have three subcomponents, one for each Implementing Agency.</w:t>
      </w:r>
    </w:p>
    <w:p w14:paraId="0E3D1D8A" w14:textId="77777777" w:rsidR="005959E1" w:rsidRDefault="003D354A">
      <w:pPr>
        <w:pStyle w:val="Gvdemetni0"/>
        <w:spacing w:after="600"/>
        <w:jc w:val="both"/>
      </w:pPr>
      <w:r>
        <w:rPr>
          <w:rStyle w:val="Gvdemetni"/>
        </w:rPr>
        <w:t>The subcomponent for İLBANK will also support technical assistance and capacity strengthening for beneficiary municipalities to facilitate the sustainable operation of the reconstructed/rehabilitated municipal infrastructure and facilities.</w:t>
      </w:r>
    </w:p>
    <w:p w14:paraId="59A2FB04" w14:textId="77777777" w:rsidR="005959E1" w:rsidRDefault="003D354A">
      <w:pPr>
        <w:pStyle w:val="Balk10"/>
        <w:keepNext/>
        <w:keepLines/>
        <w:numPr>
          <w:ilvl w:val="0"/>
          <w:numId w:val="5"/>
        </w:numPr>
        <w:tabs>
          <w:tab w:val="left" w:pos="745"/>
        </w:tabs>
      </w:pPr>
      <w:bookmarkStart w:id="5" w:name="bookmark11"/>
      <w:r>
        <w:rPr>
          <w:rStyle w:val="Balk1"/>
          <w:b/>
          <w:bCs/>
        </w:rPr>
        <w:t>Scope of The Services</w:t>
      </w:r>
      <w:bookmarkEnd w:id="5"/>
    </w:p>
    <w:p w14:paraId="5C84B805" w14:textId="77777777" w:rsidR="005959E1" w:rsidRDefault="003D354A">
      <w:pPr>
        <w:pStyle w:val="Gvdemetni0"/>
        <w:spacing w:after="120"/>
        <w:ind w:left="140"/>
        <w:jc w:val="both"/>
      </w:pPr>
      <w:r>
        <w:rPr>
          <w:rStyle w:val="Gvdemetni"/>
        </w:rPr>
        <w:t>The Consultant shall provide OHS services to the ILBANK PIU during the course of projects preparation and implementation. The scope of the services of the Consultant is to provide assistance and consultancy for the identification and management of all OHS issues related to the Project, and in particular:</w:t>
      </w:r>
    </w:p>
    <w:p w14:paraId="6A948369" w14:textId="77777777" w:rsidR="005959E1" w:rsidRDefault="003D354A">
      <w:pPr>
        <w:pStyle w:val="Gvdemetni0"/>
        <w:numPr>
          <w:ilvl w:val="0"/>
          <w:numId w:val="6"/>
        </w:numPr>
        <w:tabs>
          <w:tab w:val="left" w:pos="1585"/>
        </w:tabs>
        <w:spacing w:after="120"/>
        <w:ind w:left="1580" w:hanging="360"/>
        <w:jc w:val="both"/>
      </w:pPr>
      <w:r>
        <w:rPr>
          <w:rStyle w:val="Gvdemetni"/>
        </w:rPr>
        <w:t>Support PIU specialists to define project environmental and social risk level identification through screening process;</w:t>
      </w:r>
    </w:p>
    <w:p w14:paraId="5E824D0D" w14:textId="77777777" w:rsidR="005959E1" w:rsidRDefault="003D354A">
      <w:pPr>
        <w:pStyle w:val="Gvdemetni0"/>
        <w:numPr>
          <w:ilvl w:val="0"/>
          <w:numId w:val="6"/>
        </w:numPr>
        <w:tabs>
          <w:tab w:val="left" w:pos="1585"/>
        </w:tabs>
        <w:spacing w:after="120"/>
        <w:ind w:left="1220"/>
      </w:pPr>
      <w:r>
        <w:rPr>
          <w:rStyle w:val="Gvdemetni"/>
        </w:rPr>
        <w:t>Identify/anticipate OHS risks of the Sub-projects and define measures;</w:t>
      </w:r>
    </w:p>
    <w:p w14:paraId="47D2D9DE" w14:textId="77777777" w:rsidR="005959E1" w:rsidRDefault="003D354A">
      <w:pPr>
        <w:pStyle w:val="Gvdemetni0"/>
        <w:numPr>
          <w:ilvl w:val="0"/>
          <w:numId w:val="6"/>
        </w:numPr>
        <w:tabs>
          <w:tab w:val="left" w:pos="1585"/>
        </w:tabs>
        <w:spacing w:after="60"/>
        <w:ind w:left="1580" w:hanging="360"/>
        <w:jc w:val="both"/>
      </w:pPr>
      <w:r>
        <w:rPr>
          <w:rStyle w:val="Gvdemetni"/>
        </w:rPr>
        <w:t>Review all the project related documentation such as contractors’ and supervision consultants’ ToRs, contracts for ensuring that sufficient OHS capacity is ensured and roles and responsibilities regarding implementation, monitoring and supervising and reporting are clearly described in the sub-project specific documentation;</w:t>
      </w:r>
    </w:p>
    <w:p w14:paraId="7EFCF3EF" w14:textId="77777777" w:rsidR="005959E1" w:rsidRDefault="003D354A">
      <w:pPr>
        <w:pStyle w:val="Gvdemetni0"/>
        <w:numPr>
          <w:ilvl w:val="0"/>
          <w:numId w:val="6"/>
        </w:numPr>
        <w:tabs>
          <w:tab w:val="left" w:pos="1585"/>
        </w:tabs>
        <w:spacing w:after="120" w:line="233" w:lineRule="auto"/>
        <w:ind w:left="1580" w:hanging="360"/>
        <w:jc w:val="both"/>
      </w:pPr>
      <w:r>
        <w:rPr>
          <w:rStyle w:val="Gvdemetni"/>
        </w:rPr>
        <w:t>Review all OHS documents/reports/plans (such as Environmental and Social Impact Assessment (ESIA) reports, as Environmental and Social Management Plans (ESMPs), Labor Management Plans, Occupational Health and Safety Plans, Community Health and Safety Plan, Emergency Preparedness and Response Plans, Accident/Incident/Near Miss Reports, etc.) and ensure that those are in line with the WB requirements, prepare comments/recommendations to the PIU’s management and/or relevant parties, and follow-up the implementation</w:t>
      </w:r>
    </w:p>
    <w:p w14:paraId="4927134E" w14:textId="77777777" w:rsidR="005959E1" w:rsidRDefault="003D354A">
      <w:pPr>
        <w:pStyle w:val="Gvdemetni0"/>
        <w:numPr>
          <w:ilvl w:val="0"/>
          <w:numId w:val="6"/>
        </w:numPr>
        <w:tabs>
          <w:tab w:val="left" w:pos="1585"/>
        </w:tabs>
        <w:spacing w:after="120"/>
        <w:ind w:left="1580" w:hanging="360"/>
        <w:jc w:val="both"/>
      </w:pPr>
      <w:r>
        <w:rPr>
          <w:rStyle w:val="Gvdemetni"/>
        </w:rPr>
        <w:t>Implement the policies and standards set by the Turkish Legislation, and the relevant Financial Institutions’ Standards (such as World Bank’s safeguards policies, Environmental and Social Framework [ESF] including but not limited to World Bank Group’s General EHS Guidelines, EHS Guidelines on Water and Sanitation and any other relevant sector specific WBG EHS Guidelines with regards to Occupational Health and Safety, Community Health and Safety, Construction and Decommissioning, International Labor Organization [ILO] Standards);</w:t>
      </w:r>
    </w:p>
    <w:p w14:paraId="7B1C7E5C" w14:textId="77777777" w:rsidR="005959E1" w:rsidRDefault="003D354A">
      <w:pPr>
        <w:pStyle w:val="Gvdemetni0"/>
        <w:numPr>
          <w:ilvl w:val="0"/>
          <w:numId w:val="6"/>
        </w:numPr>
        <w:tabs>
          <w:tab w:val="left" w:pos="1585"/>
        </w:tabs>
        <w:spacing w:after="160"/>
        <w:ind w:left="1580" w:hanging="360"/>
        <w:jc w:val="both"/>
      </w:pPr>
      <w:r>
        <w:rPr>
          <w:rStyle w:val="Gvdemetni"/>
        </w:rPr>
        <w:t>Make sure, in coordination with the work supervisors, that the commitments given in the ESIAs, ESMPs, Occupational Health and Safety Management Plans and respective procedures, all related reports and other relevant management plans (Labor Management Plans, Occupational Health and Safety Plans, Emergency Preparedness and Response Plans, etc.) are finalized, approved and implemented on the field as scheduled;</w:t>
      </w:r>
    </w:p>
    <w:p w14:paraId="0F288643" w14:textId="77777777" w:rsidR="005959E1" w:rsidRDefault="003D354A">
      <w:pPr>
        <w:pStyle w:val="Gvdemetni0"/>
        <w:numPr>
          <w:ilvl w:val="0"/>
          <w:numId w:val="6"/>
        </w:numPr>
        <w:tabs>
          <w:tab w:val="left" w:pos="1585"/>
        </w:tabs>
        <w:spacing w:after="120"/>
        <w:ind w:left="1580" w:hanging="360"/>
        <w:jc w:val="both"/>
      </w:pPr>
      <w:r>
        <w:rPr>
          <w:rStyle w:val="Gvdemetni"/>
        </w:rPr>
        <w:t>Following and evaluating the OHS monitoring checklist reports received monthly from the PIUs;</w:t>
      </w:r>
    </w:p>
    <w:p w14:paraId="20B36F1D" w14:textId="77777777" w:rsidR="005959E1" w:rsidRDefault="003D354A">
      <w:pPr>
        <w:pStyle w:val="Gvdemetni0"/>
        <w:numPr>
          <w:ilvl w:val="0"/>
          <w:numId w:val="6"/>
        </w:numPr>
        <w:tabs>
          <w:tab w:val="left" w:pos="1585"/>
        </w:tabs>
        <w:spacing w:after="120"/>
        <w:ind w:left="1580" w:hanging="360"/>
        <w:jc w:val="both"/>
      </w:pPr>
      <w:r>
        <w:rPr>
          <w:rStyle w:val="Gvdemetni"/>
        </w:rPr>
        <w:t>In line with internationally recognized OHS standards, develop minimum operating standards on OHS. Establish Key Performance and Core Compliance indicators for monitoring and evaluating the OHS performance of the Projects;</w:t>
      </w:r>
    </w:p>
    <w:p w14:paraId="1EBA7CE9" w14:textId="77777777" w:rsidR="005959E1" w:rsidRDefault="003D354A">
      <w:pPr>
        <w:pStyle w:val="Gvdemetni0"/>
        <w:numPr>
          <w:ilvl w:val="0"/>
          <w:numId w:val="6"/>
        </w:numPr>
        <w:tabs>
          <w:tab w:val="left" w:pos="1585"/>
        </w:tabs>
        <w:spacing w:after="120"/>
        <w:ind w:left="1580" w:hanging="360"/>
        <w:jc w:val="both"/>
      </w:pPr>
      <w:r>
        <w:rPr>
          <w:rStyle w:val="Gvdemetni"/>
        </w:rPr>
        <w:lastRenderedPageBreak/>
        <w:t>Closely monitor implementation of the approved OHS and Community Health and Safety (CHS) measures in line with the project’s approved standards through regular site visits to sites, meetings with the relevant stakeholders, reviewing the monthly reports from the construction sites, follow up with the municipalities on the monitoring findings, non-compliances, trainings etc.</w:t>
      </w:r>
    </w:p>
    <w:p w14:paraId="7356B428" w14:textId="77777777" w:rsidR="005959E1" w:rsidRDefault="003D354A">
      <w:pPr>
        <w:pStyle w:val="Gvdemetni0"/>
        <w:numPr>
          <w:ilvl w:val="0"/>
          <w:numId w:val="6"/>
        </w:numPr>
        <w:tabs>
          <w:tab w:val="left" w:pos="1585"/>
        </w:tabs>
        <w:spacing w:after="120"/>
        <w:ind w:left="1580" w:hanging="360"/>
        <w:jc w:val="both"/>
      </w:pPr>
      <w:r>
        <w:rPr>
          <w:rStyle w:val="Gvdemetni"/>
        </w:rPr>
        <w:t>Examine the accident/incident/near miss investigation reports and Root Cause Analysis Reports, check the appropriateness of the measures taken regarding these reports, their applications in the field and the records where these processes are documented, ensure recording and investigation of accident/incident/near miss to be comply with the national requirements and the WB standards;</w:t>
      </w:r>
    </w:p>
    <w:p w14:paraId="604A679A" w14:textId="77777777" w:rsidR="005959E1" w:rsidRDefault="003D354A">
      <w:pPr>
        <w:pStyle w:val="Gvdemetni0"/>
        <w:numPr>
          <w:ilvl w:val="0"/>
          <w:numId w:val="6"/>
        </w:numPr>
        <w:tabs>
          <w:tab w:val="left" w:pos="1585"/>
        </w:tabs>
        <w:spacing w:after="120" w:line="276" w:lineRule="auto"/>
        <w:ind w:left="1580" w:hanging="360"/>
        <w:jc w:val="both"/>
      </w:pPr>
      <w:r>
        <w:rPr>
          <w:rStyle w:val="Gvdemetni"/>
        </w:rPr>
        <w:t>Support the PIU for the preparation of Progress Reports, Monitoring and Evaluation Activities within the scope of the Project in line with the financial institutions safeguards;</w:t>
      </w:r>
    </w:p>
    <w:p w14:paraId="21756F91" w14:textId="77777777" w:rsidR="005959E1" w:rsidRDefault="003D354A">
      <w:pPr>
        <w:pStyle w:val="Gvdemetni0"/>
        <w:numPr>
          <w:ilvl w:val="0"/>
          <w:numId w:val="6"/>
        </w:numPr>
        <w:tabs>
          <w:tab w:val="left" w:pos="1585"/>
        </w:tabs>
        <w:spacing w:after="120"/>
        <w:ind w:left="1580" w:hanging="360"/>
        <w:jc w:val="both"/>
      </w:pPr>
      <w:r>
        <w:rPr>
          <w:rStyle w:val="Gvdemetni"/>
        </w:rPr>
        <w:t>Conduct regular site visits for the project monitoring and visit municipalities/utilities for the assessment of the OHS and CHS issues of the Project and the management of OHS issues, if any; assist/participate in audits/monitoring missions conducted by the Bank/Financial Institutions or the any other authorities including the Ministry of Environment, Urbanization and Climate Change and Ministry of Labor and Social Security;</w:t>
      </w:r>
    </w:p>
    <w:p w14:paraId="3145C161" w14:textId="77777777" w:rsidR="005959E1" w:rsidRDefault="003D354A">
      <w:pPr>
        <w:pStyle w:val="Gvdemetni0"/>
        <w:numPr>
          <w:ilvl w:val="0"/>
          <w:numId w:val="6"/>
        </w:numPr>
        <w:tabs>
          <w:tab w:val="left" w:pos="1585"/>
        </w:tabs>
        <w:spacing w:after="120"/>
        <w:ind w:left="1580" w:hanging="360"/>
        <w:jc w:val="both"/>
      </w:pPr>
      <w:r>
        <w:rPr>
          <w:rStyle w:val="Gvdemetni"/>
        </w:rPr>
        <w:t>Design and initiate the implementation of an incident reporting mechanism (ESIRT) to enable Contractors and Consultant Firms to collect and collate incident reports and analyze data on work-related incidents. Produce periodic statistics on OHS incidents, analyze trends and recommend focused strategies/measures to prevent work related non- compliances and incidents from re-occurring. Develop accident reviews procedures, forms, and guidelines;</w:t>
      </w:r>
    </w:p>
    <w:p w14:paraId="5C186673" w14:textId="77777777" w:rsidR="005959E1" w:rsidRDefault="003D354A">
      <w:pPr>
        <w:pStyle w:val="Gvdemetni0"/>
        <w:numPr>
          <w:ilvl w:val="0"/>
          <w:numId w:val="6"/>
        </w:numPr>
        <w:tabs>
          <w:tab w:val="left" w:pos="1585"/>
        </w:tabs>
        <w:spacing w:after="120"/>
        <w:ind w:left="1580" w:hanging="360"/>
        <w:jc w:val="both"/>
      </w:pPr>
      <w:r>
        <w:rPr>
          <w:rStyle w:val="Gvdemetni"/>
        </w:rPr>
        <w:t>Provide written guidance for contractors on how to undertake risk assessments, rating and prioritizing OHS risks and hazard control plans for the highest risks;</w:t>
      </w:r>
    </w:p>
    <w:p w14:paraId="2F1F3D2B" w14:textId="77777777" w:rsidR="005959E1" w:rsidRDefault="003D354A">
      <w:pPr>
        <w:pStyle w:val="Gvdemetni0"/>
        <w:numPr>
          <w:ilvl w:val="0"/>
          <w:numId w:val="6"/>
        </w:numPr>
        <w:tabs>
          <w:tab w:val="left" w:pos="1585"/>
        </w:tabs>
        <w:spacing w:after="120"/>
        <w:ind w:left="1580" w:hanging="360"/>
        <w:jc w:val="both"/>
      </w:pPr>
      <w:r>
        <w:rPr>
          <w:rStyle w:val="Gvdemetni"/>
        </w:rPr>
        <w:t>Review the contractors’ OHS systems and procedures (such as OHS Management Plans (OHSMP), Works Methods Statements (WMS) and Risk Analysis etc.) to meet the Applicable HS Standards; and</w:t>
      </w:r>
    </w:p>
    <w:p w14:paraId="5C7A69F8" w14:textId="77777777" w:rsidR="005959E1" w:rsidRDefault="003D354A">
      <w:pPr>
        <w:pStyle w:val="Gvdemetni0"/>
        <w:numPr>
          <w:ilvl w:val="0"/>
          <w:numId w:val="6"/>
        </w:numPr>
        <w:tabs>
          <w:tab w:val="left" w:pos="1585"/>
        </w:tabs>
        <w:spacing w:after="320"/>
        <w:ind w:left="1580" w:hanging="360"/>
        <w:jc w:val="both"/>
      </w:pPr>
      <w:r>
        <w:rPr>
          <w:rStyle w:val="Gvdemetni"/>
        </w:rPr>
        <w:t>Conduct “on-the-job” or specific trainings on the OHS issues related to the project scope requested by ILBANK and ensure PIU teams are well aware of Project’s OHS and CHS standart</w:t>
      </w:r>
    </w:p>
    <w:p w14:paraId="5F4036A5" w14:textId="77777777" w:rsidR="005959E1" w:rsidRDefault="003D354A">
      <w:pPr>
        <w:pStyle w:val="Balk10"/>
        <w:keepNext/>
        <w:keepLines/>
        <w:numPr>
          <w:ilvl w:val="0"/>
          <w:numId w:val="5"/>
        </w:numPr>
        <w:tabs>
          <w:tab w:val="left" w:pos="745"/>
        </w:tabs>
      </w:pPr>
      <w:bookmarkStart w:id="6" w:name="bookmark13"/>
      <w:r>
        <w:rPr>
          <w:rStyle w:val="Balk1"/>
          <w:b/>
          <w:bCs/>
        </w:rPr>
        <w:t>Reports</w:t>
      </w:r>
      <w:bookmarkEnd w:id="6"/>
    </w:p>
    <w:p w14:paraId="3D7D32D4" w14:textId="77777777" w:rsidR="005959E1" w:rsidRDefault="003D354A">
      <w:pPr>
        <w:pStyle w:val="Gvdemetni0"/>
        <w:spacing w:after="120"/>
        <w:ind w:left="140"/>
        <w:jc w:val="both"/>
      </w:pPr>
      <w:r>
        <w:rPr>
          <w:rStyle w:val="Gvdemetni"/>
        </w:rPr>
        <w:t>The Consultant shall prepare and update all parts related to OHS issues in the reports due as part of the project and comment on any activity reports due to World Bank. He/she will fill in detailed time sheets on his/her activities and comply with his/her contract’s requirements in terms of payment/time justification. The reports prepared by consultants will be submitted to ILBANK PIU.</w:t>
      </w:r>
    </w:p>
    <w:p w14:paraId="0713D585" w14:textId="77777777" w:rsidR="005959E1" w:rsidRDefault="003D354A">
      <w:pPr>
        <w:pStyle w:val="Balk10"/>
        <w:keepNext/>
        <w:keepLines/>
        <w:numPr>
          <w:ilvl w:val="0"/>
          <w:numId w:val="5"/>
        </w:numPr>
        <w:tabs>
          <w:tab w:val="left" w:pos="745"/>
        </w:tabs>
        <w:spacing w:after="100"/>
      </w:pPr>
      <w:bookmarkStart w:id="7" w:name="bookmark15"/>
      <w:r>
        <w:rPr>
          <w:rStyle w:val="Balk1"/>
          <w:b/>
          <w:bCs/>
        </w:rPr>
        <w:t>Duration and Location of The Services</w:t>
      </w:r>
      <w:bookmarkEnd w:id="7"/>
    </w:p>
    <w:p w14:paraId="1EF31560" w14:textId="77777777" w:rsidR="005959E1" w:rsidRDefault="003D354A">
      <w:pPr>
        <w:pStyle w:val="Gvdemetni0"/>
        <w:spacing w:after="100"/>
        <w:jc w:val="both"/>
      </w:pPr>
      <w:r>
        <w:rPr>
          <w:rStyle w:val="Gvdemetni"/>
        </w:rPr>
        <w:t>The services will be required on a full-time basis, for an expected duration of one year with two months’ probation period and a renewable 1- year contract, if performance is satisfactory, until the end of the project(s) lifetime.</w:t>
      </w:r>
    </w:p>
    <w:p w14:paraId="6E87D758" w14:textId="77777777" w:rsidR="005959E1" w:rsidRDefault="003D354A">
      <w:pPr>
        <w:pStyle w:val="Gvdemetni0"/>
        <w:spacing w:after="240"/>
        <w:jc w:val="both"/>
      </w:pPr>
      <w:r>
        <w:rPr>
          <w:rStyle w:val="Gvdemetni"/>
        </w:rPr>
        <w:t>The position will be based in Ankara with frequent site visits to ILBANK’s project sites. If required, and with the approval of the Employer, the Consultant shall attend the site visits to municipalities/SKI’s and ILBANK Regional Directorates within the scope of the Project.</w:t>
      </w:r>
    </w:p>
    <w:p w14:paraId="6C5D3225" w14:textId="77777777" w:rsidR="005959E1" w:rsidRDefault="003D354A">
      <w:pPr>
        <w:pStyle w:val="Balk10"/>
        <w:keepNext/>
        <w:keepLines/>
        <w:numPr>
          <w:ilvl w:val="0"/>
          <w:numId w:val="5"/>
        </w:numPr>
        <w:tabs>
          <w:tab w:val="left" w:pos="745"/>
        </w:tabs>
        <w:spacing w:after="100"/>
      </w:pPr>
      <w:bookmarkStart w:id="8" w:name="bookmark17"/>
      <w:r>
        <w:rPr>
          <w:rStyle w:val="Balk1"/>
          <w:b/>
          <w:bCs/>
        </w:rPr>
        <w:t>Qualification Requirements</w:t>
      </w:r>
      <w:bookmarkEnd w:id="8"/>
    </w:p>
    <w:p w14:paraId="4E5993ED" w14:textId="77777777" w:rsidR="005959E1" w:rsidRDefault="003D354A">
      <w:pPr>
        <w:pStyle w:val="Gvdemetni0"/>
        <w:numPr>
          <w:ilvl w:val="0"/>
          <w:numId w:val="7"/>
        </w:numPr>
        <w:tabs>
          <w:tab w:val="left" w:pos="1450"/>
        </w:tabs>
        <w:spacing w:after="100"/>
        <w:ind w:left="1100"/>
      </w:pPr>
      <w:r>
        <w:rPr>
          <w:rStyle w:val="Gvdemetni"/>
        </w:rPr>
        <w:t>At least bachelor's degree in Engineering or in acceptable field;</w:t>
      </w:r>
    </w:p>
    <w:p w14:paraId="5D8CC6E2" w14:textId="77777777" w:rsidR="005959E1" w:rsidRDefault="003D354A">
      <w:pPr>
        <w:pStyle w:val="Gvdemetni0"/>
        <w:numPr>
          <w:ilvl w:val="0"/>
          <w:numId w:val="7"/>
        </w:numPr>
        <w:tabs>
          <w:tab w:val="left" w:pos="1450"/>
        </w:tabs>
        <w:spacing w:after="100"/>
        <w:ind w:left="1460" w:hanging="360"/>
      </w:pPr>
      <w:r>
        <w:rPr>
          <w:rStyle w:val="Gvdemetni"/>
        </w:rPr>
        <w:t>Minimum seven (7) years’ work experience in OHS auditing experience in systems and procedures;</w:t>
      </w:r>
    </w:p>
    <w:p w14:paraId="7CB6B97E" w14:textId="2F6C33B0" w:rsidR="005959E1" w:rsidRDefault="003D354A" w:rsidP="006E1CD3">
      <w:pPr>
        <w:pStyle w:val="Gvdemetni0"/>
        <w:numPr>
          <w:ilvl w:val="0"/>
          <w:numId w:val="7"/>
        </w:numPr>
        <w:tabs>
          <w:tab w:val="left" w:pos="1450"/>
        </w:tabs>
        <w:spacing w:after="100"/>
        <w:ind w:left="1460" w:hanging="360"/>
        <w:jc w:val="both"/>
      </w:pPr>
      <w:r>
        <w:rPr>
          <w:rStyle w:val="Gvdemetni"/>
        </w:rPr>
        <w:lastRenderedPageBreak/>
        <w:t xml:space="preserve">Have a certification in OHS related field (A Class </w:t>
      </w:r>
      <w:r w:rsidR="006E1CD3">
        <w:rPr>
          <w:rStyle w:val="Gvdemetni"/>
        </w:rPr>
        <w:t xml:space="preserve">or B Class </w:t>
      </w:r>
      <w:r>
        <w:rPr>
          <w:rStyle w:val="Gvdemetni"/>
        </w:rPr>
        <w:t>OHS Ministry of Labour and Social Security of Turkey Certificate and one International Certificate (NEBOSH, OSHA, etc.);</w:t>
      </w:r>
    </w:p>
    <w:p w14:paraId="08F71E79" w14:textId="77777777" w:rsidR="005959E1" w:rsidRDefault="003D354A" w:rsidP="006E1CD3">
      <w:pPr>
        <w:pStyle w:val="Gvdemetni0"/>
        <w:numPr>
          <w:ilvl w:val="0"/>
          <w:numId w:val="7"/>
        </w:numPr>
        <w:tabs>
          <w:tab w:val="left" w:pos="1450"/>
        </w:tabs>
        <w:spacing w:after="0"/>
        <w:ind w:left="1100"/>
        <w:jc w:val="both"/>
      </w:pPr>
      <w:r>
        <w:rPr>
          <w:rStyle w:val="Gvdemetni"/>
        </w:rPr>
        <w:t>Have a complete understanding of ISO 45001, Occupational Health and Safety Law No.</w:t>
      </w:r>
    </w:p>
    <w:p w14:paraId="0B58B9A3" w14:textId="77777777" w:rsidR="005959E1" w:rsidRDefault="003D354A" w:rsidP="006E1CD3">
      <w:pPr>
        <w:pStyle w:val="Gvdemetni0"/>
        <w:spacing w:after="100"/>
        <w:ind w:left="1460"/>
        <w:jc w:val="both"/>
      </w:pPr>
      <w:r>
        <w:rPr>
          <w:rStyle w:val="Gvdemetni"/>
        </w:rPr>
        <w:t>6331 and all relevant applicable regulations of Turkey. ILO Code of Practice, World Bank Operational Policies, Environmental and Social Framework and respective World Bank Group Environmental, Health, and Safety Guidelines or any other internationally acceptable standard;</w:t>
      </w:r>
    </w:p>
    <w:p w14:paraId="65D66619" w14:textId="77777777" w:rsidR="005959E1" w:rsidRDefault="003D354A" w:rsidP="006E1CD3">
      <w:pPr>
        <w:pStyle w:val="Gvdemetni0"/>
        <w:numPr>
          <w:ilvl w:val="0"/>
          <w:numId w:val="7"/>
        </w:numPr>
        <w:tabs>
          <w:tab w:val="left" w:pos="1450"/>
        </w:tabs>
        <w:spacing w:after="100"/>
        <w:ind w:left="1460" w:hanging="360"/>
        <w:jc w:val="both"/>
      </w:pPr>
      <w:r>
        <w:rPr>
          <w:rStyle w:val="Gvdemetni"/>
        </w:rPr>
        <w:t>Being an accredited OHS professional lead auditor of an internationally recognized auditing accreditation body is an asset;</w:t>
      </w:r>
    </w:p>
    <w:p w14:paraId="6D17BCA6" w14:textId="77777777" w:rsidR="005959E1" w:rsidRDefault="003D354A" w:rsidP="006E1CD3">
      <w:pPr>
        <w:pStyle w:val="Gvdemetni0"/>
        <w:numPr>
          <w:ilvl w:val="0"/>
          <w:numId w:val="7"/>
        </w:numPr>
        <w:tabs>
          <w:tab w:val="left" w:pos="1450"/>
        </w:tabs>
        <w:spacing w:after="100"/>
        <w:ind w:left="1100"/>
        <w:jc w:val="both"/>
      </w:pPr>
      <w:r>
        <w:rPr>
          <w:rStyle w:val="Gvdemetni"/>
        </w:rPr>
        <w:t>Proficiency in key computer applications (Word, Excel, PowerPoint);</w:t>
      </w:r>
    </w:p>
    <w:p w14:paraId="42AD17E7" w14:textId="77777777" w:rsidR="005959E1" w:rsidRDefault="003D354A" w:rsidP="006E1CD3">
      <w:pPr>
        <w:pStyle w:val="Gvdemetni0"/>
        <w:numPr>
          <w:ilvl w:val="0"/>
          <w:numId w:val="7"/>
        </w:numPr>
        <w:tabs>
          <w:tab w:val="left" w:pos="1450"/>
        </w:tabs>
        <w:spacing w:after="100"/>
        <w:ind w:left="1100"/>
        <w:jc w:val="both"/>
      </w:pPr>
      <w:r>
        <w:rPr>
          <w:rStyle w:val="Gvdemetni"/>
        </w:rPr>
        <w:t>Fluency in written and oral English and Turkish is a must; and</w:t>
      </w:r>
    </w:p>
    <w:p w14:paraId="057ACC78" w14:textId="77777777" w:rsidR="005959E1" w:rsidRDefault="003D354A" w:rsidP="006E1CD3">
      <w:pPr>
        <w:pStyle w:val="Gvdemetni0"/>
        <w:numPr>
          <w:ilvl w:val="0"/>
          <w:numId w:val="7"/>
        </w:numPr>
        <w:tabs>
          <w:tab w:val="left" w:pos="1450"/>
        </w:tabs>
        <w:spacing w:after="500"/>
        <w:ind w:left="1100"/>
        <w:jc w:val="both"/>
      </w:pPr>
      <w:r>
        <w:rPr>
          <w:rStyle w:val="Gvdemetni"/>
        </w:rPr>
        <w:t>Strong interpersonal and communication skills and ability to work in a team environment.</w:t>
      </w:r>
    </w:p>
    <w:p w14:paraId="5302B903" w14:textId="77777777" w:rsidR="005959E1" w:rsidRDefault="003D354A">
      <w:pPr>
        <w:pStyle w:val="Balk10"/>
        <w:keepNext/>
        <w:keepLines/>
        <w:numPr>
          <w:ilvl w:val="0"/>
          <w:numId w:val="5"/>
        </w:numPr>
        <w:tabs>
          <w:tab w:val="left" w:pos="745"/>
        </w:tabs>
        <w:spacing w:after="240"/>
      </w:pPr>
      <w:bookmarkStart w:id="9" w:name="bookmark19"/>
      <w:r>
        <w:rPr>
          <w:rStyle w:val="Balk1"/>
          <w:b/>
          <w:bCs/>
        </w:rPr>
        <w:t>Methodology</w:t>
      </w:r>
      <w:bookmarkEnd w:id="9"/>
    </w:p>
    <w:p w14:paraId="2A808261" w14:textId="77777777" w:rsidR="005959E1" w:rsidRDefault="003D354A" w:rsidP="006E1CD3">
      <w:pPr>
        <w:pStyle w:val="Gvdemetni0"/>
        <w:spacing w:after="100"/>
        <w:jc w:val="both"/>
        <w:sectPr w:rsidR="005959E1">
          <w:headerReference w:type="even" r:id="rId7"/>
          <w:headerReference w:type="default" r:id="rId8"/>
          <w:footerReference w:type="even" r:id="rId9"/>
          <w:footerReference w:type="default" r:id="rId10"/>
          <w:headerReference w:type="first" r:id="rId11"/>
          <w:footerReference w:type="first" r:id="rId12"/>
          <w:pgSz w:w="11900" w:h="16840"/>
          <w:pgMar w:top="1314" w:right="905" w:bottom="1488" w:left="1261" w:header="0" w:footer="3" w:gutter="0"/>
          <w:pgNumType w:start="1"/>
          <w:cols w:space="720"/>
          <w:noEndnote/>
          <w:titlePg/>
          <w:docGrid w:linePitch="360"/>
        </w:sectPr>
      </w:pPr>
      <w:r>
        <w:rPr>
          <w:rStyle w:val="Gvdemetni"/>
        </w:rPr>
        <w:t>The consultant will be hired following the guidance of World Banks’s Procurement Regulations for IPF Borrowers (Fourth Edition November 2020) (Procurement Regulations). The contracted position will be the OHS Consultant of ILBANK PIU in Ankara</w:t>
      </w:r>
    </w:p>
    <w:p w14:paraId="1F16985C" w14:textId="77777777" w:rsidR="005959E1" w:rsidRDefault="003D354A">
      <w:pPr>
        <w:pStyle w:val="Balk10"/>
        <w:keepNext/>
        <w:keepLines/>
        <w:numPr>
          <w:ilvl w:val="0"/>
          <w:numId w:val="5"/>
        </w:numPr>
        <w:tabs>
          <w:tab w:val="left" w:pos="845"/>
        </w:tabs>
        <w:spacing w:before="480" w:after="260"/>
        <w:ind w:firstLine="480"/>
      </w:pPr>
      <w:bookmarkStart w:id="12" w:name="bookmark21"/>
      <w:r>
        <w:rPr>
          <w:rStyle w:val="Balk1"/>
          <w:b/>
          <w:bCs/>
        </w:rPr>
        <w:lastRenderedPageBreak/>
        <w:t>Application</w:t>
      </w:r>
      <w:bookmarkEnd w:id="12"/>
    </w:p>
    <w:p w14:paraId="40DFC216" w14:textId="77777777" w:rsidR="005959E1" w:rsidRDefault="003D354A">
      <w:pPr>
        <w:pStyle w:val="Gvdemetni0"/>
        <w:ind w:firstLine="480"/>
      </w:pPr>
      <w:r>
        <w:rPr>
          <w:rStyle w:val="Gvdemetni"/>
        </w:rPr>
        <w:t>The application should include a CV in the following format in English.</w:t>
      </w:r>
    </w:p>
    <w:p w14:paraId="63259677" w14:textId="77777777" w:rsidR="005959E1" w:rsidRDefault="003D354A">
      <w:pPr>
        <w:pStyle w:val="Balk10"/>
        <w:keepNext/>
        <w:keepLines/>
        <w:ind w:firstLine="480"/>
      </w:pPr>
      <w:bookmarkStart w:id="13" w:name="bookmark23"/>
      <w:r>
        <w:rPr>
          <w:rStyle w:val="Balk1"/>
          <w:b/>
          <w:bCs/>
        </w:rPr>
        <w:t>Attn: Mr. Nevzat TOĞRUL, Manager of Project Implementation Unit</w:t>
      </w:r>
      <w:bookmarkEnd w:id="13"/>
    </w:p>
    <w:p w14:paraId="340A3038" w14:textId="77777777" w:rsidR="005959E1" w:rsidRDefault="003D354A">
      <w:pPr>
        <w:pStyle w:val="Gvdemetni0"/>
        <w:spacing w:after="0"/>
        <w:ind w:firstLine="480"/>
      </w:pPr>
      <w:r>
        <w:rPr>
          <w:rStyle w:val="Gvdemetni"/>
        </w:rPr>
        <w:t>ILBANK Directorate General</w:t>
      </w:r>
    </w:p>
    <w:p w14:paraId="05E897C8" w14:textId="77777777" w:rsidR="005959E1" w:rsidRDefault="003D354A">
      <w:pPr>
        <w:pStyle w:val="Gvdemetni0"/>
        <w:spacing w:after="0"/>
        <w:ind w:firstLine="480"/>
      </w:pPr>
      <w:r>
        <w:rPr>
          <w:rStyle w:val="Gvdemetni"/>
        </w:rPr>
        <w:t>Department of International Relations</w:t>
      </w:r>
    </w:p>
    <w:p w14:paraId="4713996A" w14:textId="77777777" w:rsidR="005959E1" w:rsidRDefault="003D354A">
      <w:pPr>
        <w:pStyle w:val="Gvdemetni0"/>
        <w:spacing w:after="0"/>
        <w:ind w:firstLine="480"/>
      </w:pPr>
      <w:r>
        <w:rPr>
          <w:rStyle w:val="Gvdemetni"/>
        </w:rPr>
        <w:t>Emniyet Mahallesi, Hipodrom Caddesi, No: 9/21</w:t>
      </w:r>
    </w:p>
    <w:p w14:paraId="55F15578" w14:textId="77777777" w:rsidR="005959E1" w:rsidRDefault="003D354A">
      <w:pPr>
        <w:pStyle w:val="Gvdemetni0"/>
        <w:spacing w:after="0"/>
        <w:ind w:firstLine="480"/>
      </w:pPr>
      <w:r>
        <w:rPr>
          <w:rStyle w:val="Gvdemetni"/>
        </w:rPr>
        <w:t>Yenimahalle / Ankara</w:t>
      </w:r>
    </w:p>
    <w:p w14:paraId="2668ADE5" w14:textId="77777777" w:rsidR="005959E1" w:rsidRDefault="003D354A">
      <w:pPr>
        <w:pStyle w:val="Gvdemetni0"/>
        <w:spacing w:after="0"/>
        <w:ind w:firstLine="480"/>
      </w:pPr>
      <w:r>
        <w:rPr>
          <w:rStyle w:val="Gvdemetni"/>
        </w:rPr>
        <w:t>Tel: 0312 5087909</w:t>
      </w:r>
    </w:p>
    <w:p w14:paraId="18E3E0BE" w14:textId="77777777" w:rsidR="005959E1" w:rsidRDefault="003D354A">
      <w:pPr>
        <w:pStyle w:val="Gvdemetni0"/>
        <w:spacing w:after="0"/>
        <w:ind w:firstLine="480"/>
      </w:pPr>
      <w:r>
        <w:rPr>
          <w:rStyle w:val="Gvdemetni"/>
        </w:rPr>
        <w:t>E-mail:</w:t>
      </w:r>
      <w:hyperlink r:id="rId13" w:history="1">
        <w:r>
          <w:rPr>
            <w:rStyle w:val="Gvdemetni"/>
          </w:rPr>
          <w:t xml:space="preserve"> </w:t>
        </w:r>
        <w:r>
          <w:rPr>
            <w:rStyle w:val="Gvdemetni"/>
            <w:color w:val="0563C1"/>
            <w:u w:val="single"/>
            <w:lang w:val="en-US" w:eastAsia="en-US" w:bidi="en-US"/>
          </w:rPr>
          <w:t>pybafet@ilbank.gov.tr</w:t>
        </w:r>
        <w:r>
          <w:rPr>
            <w:rStyle w:val="Gvdemetni"/>
            <w:color w:val="0563C1"/>
            <w:lang w:val="en-US" w:eastAsia="en-US" w:bidi="en-US"/>
          </w:rPr>
          <w:t xml:space="preserve"> </w:t>
        </w:r>
      </w:hyperlink>
      <w:hyperlink r:id="rId14" w:history="1">
        <w:r>
          <w:rPr>
            <w:rStyle w:val="Gvdemetni"/>
            <w:lang w:val="en-US" w:eastAsia="en-US" w:bidi="en-US"/>
          </w:rPr>
          <w:t>ntogrul@ilbank.gov.tr</w:t>
        </w:r>
      </w:hyperlink>
    </w:p>
    <w:p w14:paraId="7931957D" w14:textId="77777777" w:rsidR="005959E1" w:rsidRDefault="003D354A">
      <w:pPr>
        <w:pStyle w:val="Gvdemetni0"/>
        <w:spacing w:after="240"/>
        <w:ind w:firstLine="480"/>
      </w:pPr>
      <w:r>
        <w:rPr>
          <w:rStyle w:val="Gvdemetni"/>
        </w:rPr>
        <w:t xml:space="preserve">website: </w:t>
      </w:r>
      <w:hyperlink r:id="rId15" w:history="1">
        <w:r>
          <w:rPr>
            <w:rStyle w:val="Gvdemetni"/>
          </w:rPr>
          <w:t>https://www.ilbank.gov.tr</w:t>
        </w:r>
      </w:hyperlink>
      <w:r>
        <w:br w:type="page"/>
      </w:r>
    </w:p>
    <w:p w14:paraId="7E40CCA6" w14:textId="77777777" w:rsidR="005959E1" w:rsidRDefault="003D354A">
      <w:pPr>
        <w:pStyle w:val="Gvdemetni0"/>
        <w:spacing w:after="0"/>
        <w:jc w:val="center"/>
      </w:pPr>
      <w:r>
        <w:rPr>
          <w:rStyle w:val="Gvdemetni"/>
        </w:rPr>
        <w:lastRenderedPageBreak/>
        <w:t>ANNEX I</w:t>
      </w:r>
    </w:p>
    <w:p w14:paraId="16F80068" w14:textId="77777777" w:rsidR="005959E1" w:rsidRDefault="003D354A">
      <w:pPr>
        <w:pStyle w:val="Gvdemetni0"/>
        <w:spacing w:after="0"/>
        <w:jc w:val="center"/>
      </w:pPr>
      <w:r>
        <w:rPr>
          <w:rStyle w:val="Gvdemetni"/>
        </w:rPr>
        <w:t>CURRICULUM VITAE</w:t>
      </w:r>
    </w:p>
    <w:p w14:paraId="43345240" w14:textId="77777777" w:rsidR="005959E1" w:rsidRDefault="003D354A" w:rsidP="006E1CD3">
      <w:pPr>
        <w:pStyle w:val="Tabloyazs0"/>
      </w:pPr>
      <w:r>
        <w:rPr>
          <w:rStyle w:val="Tabloyazs"/>
          <w:b/>
          <w:bCs/>
        </w:rPr>
        <w:t>Name of Staff Profession</w:t>
      </w:r>
    </w:p>
    <w:p w14:paraId="49442B21" w14:textId="77777777" w:rsidR="005959E1" w:rsidRDefault="003D354A" w:rsidP="006E1CD3">
      <w:pPr>
        <w:pStyle w:val="Tabloyazs0"/>
      </w:pPr>
      <w:r>
        <w:rPr>
          <w:rStyle w:val="Tabloyazs"/>
          <w:b/>
          <w:bCs/>
        </w:rPr>
        <w:t>Date and Place of Birth Civil Status</w:t>
      </w:r>
    </w:p>
    <w:tbl>
      <w:tblPr>
        <w:tblOverlap w:val="never"/>
        <w:tblW w:w="0" w:type="auto"/>
        <w:tblLayout w:type="fixed"/>
        <w:tblCellMar>
          <w:left w:w="10" w:type="dxa"/>
          <w:right w:w="10" w:type="dxa"/>
        </w:tblCellMar>
        <w:tblLook w:val="04A0" w:firstRow="1" w:lastRow="0" w:firstColumn="1" w:lastColumn="0" w:noHBand="0" w:noVBand="1"/>
      </w:tblPr>
      <w:tblGrid>
        <w:gridCol w:w="1589"/>
        <w:gridCol w:w="1776"/>
      </w:tblGrid>
      <w:tr w:rsidR="005959E1" w14:paraId="1077E23B" w14:textId="77777777">
        <w:trPr>
          <w:trHeight w:hRule="exact" w:val="768"/>
        </w:trPr>
        <w:tc>
          <w:tcPr>
            <w:tcW w:w="1589" w:type="dxa"/>
            <w:shd w:val="clear" w:color="auto" w:fill="auto"/>
          </w:tcPr>
          <w:p w14:paraId="57376E93" w14:textId="77777777" w:rsidR="005959E1" w:rsidRDefault="003D354A">
            <w:pPr>
              <w:pStyle w:val="Dier0"/>
              <w:spacing w:after="0"/>
            </w:pPr>
            <w:r>
              <w:rPr>
                <w:rStyle w:val="Dier"/>
                <w:b/>
                <w:bCs/>
              </w:rPr>
              <w:t>Home Address Phone</w:t>
            </w:r>
          </w:p>
        </w:tc>
        <w:tc>
          <w:tcPr>
            <w:tcW w:w="1776" w:type="dxa"/>
            <w:shd w:val="clear" w:color="auto" w:fill="auto"/>
            <w:vAlign w:val="center"/>
          </w:tcPr>
          <w:p w14:paraId="0499D23A" w14:textId="77777777" w:rsidR="005959E1" w:rsidRDefault="003D354A">
            <w:pPr>
              <w:pStyle w:val="Dier0"/>
              <w:spacing w:after="40"/>
              <w:ind w:left="1200"/>
            </w:pPr>
            <w:r>
              <w:rPr>
                <w:rStyle w:val="Dier"/>
                <w:b/>
                <w:bCs/>
              </w:rPr>
              <w:t>:</w:t>
            </w:r>
          </w:p>
          <w:p w14:paraId="1C229FDD" w14:textId="77777777" w:rsidR="005959E1" w:rsidRDefault="003D354A">
            <w:pPr>
              <w:pStyle w:val="Dier0"/>
              <w:tabs>
                <w:tab w:val="left" w:pos="1109"/>
              </w:tabs>
              <w:spacing w:after="0"/>
            </w:pPr>
            <w:r>
              <w:rPr>
                <w:rStyle w:val="Dier"/>
                <w:b/>
                <w:bCs/>
              </w:rPr>
              <w:t>home</w:t>
            </w:r>
            <w:r>
              <w:rPr>
                <w:rStyle w:val="Dier"/>
                <w:b/>
                <w:bCs/>
              </w:rPr>
              <w:tab/>
              <w:t>:</w:t>
            </w:r>
          </w:p>
          <w:p w14:paraId="775B9BE0" w14:textId="77777777" w:rsidR="005959E1" w:rsidRDefault="003D354A">
            <w:pPr>
              <w:pStyle w:val="Dier0"/>
              <w:tabs>
                <w:tab w:val="left" w:pos="1109"/>
              </w:tabs>
              <w:spacing w:after="0"/>
            </w:pPr>
            <w:r>
              <w:rPr>
                <w:rStyle w:val="Dier"/>
                <w:b/>
                <w:bCs/>
              </w:rPr>
              <w:t>mobile</w:t>
            </w:r>
            <w:r>
              <w:rPr>
                <w:rStyle w:val="Dier"/>
                <w:b/>
                <w:bCs/>
              </w:rPr>
              <w:tab/>
              <w:t>:</w:t>
            </w:r>
          </w:p>
        </w:tc>
      </w:tr>
    </w:tbl>
    <w:p w14:paraId="622E9CAA" w14:textId="77777777" w:rsidR="005959E1" w:rsidRDefault="003D354A">
      <w:pPr>
        <w:pStyle w:val="Tabloyazs0"/>
        <w:tabs>
          <w:tab w:val="left" w:pos="2640"/>
        </w:tabs>
      </w:pPr>
      <w:r>
        <w:rPr>
          <w:rStyle w:val="Tabloyazs"/>
          <w:b/>
          <w:bCs/>
        </w:rPr>
        <w:t>E-Mail</w:t>
      </w:r>
      <w:r>
        <w:rPr>
          <w:rStyle w:val="Tabloyazs"/>
          <w:b/>
          <w:bCs/>
        </w:rPr>
        <w:tab/>
        <w:t>:</w:t>
      </w:r>
    </w:p>
    <w:p w14:paraId="313D1E8B" w14:textId="77777777" w:rsidR="005959E1" w:rsidRDefault="003D354A">
      <w:pPr>
        <w:pStyle w:val="Tabloyazs0"/>
        <w:tabs>
          <w:tab w:val="left" w:pos="2640"/>
        </w:tabs>
      </w:pPr>
      <w:r>
        <w:rPr>
          <w:rStyle w:val="Tabloyazs"/>
          <w:b/>
          <w:bCs/>
        </w:rPr>
        <w:t>POSITION APPLIED</w:t>
      </w:r>
      <w:r>
        <w:rPr>
          <w:rStyle w:val="Tabloyazs"/>
          <w:b/>
          <w:bCs/>
        </w:rPr>
        <w:tab/>
        <w:t>:</w:t>
      </w:r>
    </w:p>
    <w:p w14:paraId="10C98CD8" w14:textId="77777777" w:rsidR="005959E1" w:rsidRDefault="005959E1">
      <w:pPr>
        <w:spacing w:after="279" w:line="1" w:lineRule="exact"/>
      </w:pPr>
    </w:p>
    <w:p w14:paraId="1F2D05D9" w14:textId="77777777" w:rsidR="005959E1" w:rsidRDefault="003D354A">
      <w:pPr>
        <w:pStyle w:val="Gvdemetni0"/>
        <w:spacing w:after="240"/>
      </w:pPr>
      <w:r>
        <w:rPr>
          <w:rStyle w:val="Gvdemetni"/>
          <w:b/>
          <w:bCs/>
        </w:rPr>
        <w:t>KEY QUALIFICATIONS</w:t>
      </w:r>
    </w:p>
    <w:p w14:paraId="1D462555" w14:textId="77777777" w:rsidR="005959E1" w:rsidRDefault="003D354A">
      <w:pPr>
        <w:pStyle w:val="Gvdemetni0"/>
        <w:spacing w:after="60"/>
      </w:pPr>
      <w:r>
        <w:rPr>
          <w:rStyle w:val="Gvdemetni"/>
        </w:rPr>
        <w:t>Specific experience in:</w:t>
      </w:r>
    </w:p>
    <w:p w14:paraId="2712FD01" w14:textId="77777777" w:rsidR="005959E1" w:rsidRDefault="003D354A">
      <w:pPr>
        <w:pStyle w:val="Gvdemetni20"/>
      </w:pPr>
      <w:r>
        <w:rPr>
          <w:rStyle w:val="Gvdemetni2"/>
        </w:rPr>
        <w:t>•</w:t>
      </w:r>
    </w:p>
    <w:p w14:paraId="1E80E203" w14:textId="77777777" w:rsidR="005959E1" w:rsidRDefault="003D354A">
      <w:pPr>
        <w:pStyle w:val="Gvdemetni20"/>
      </w:pPr>
      <w:r>
        <w:rPr>
          <w:rStyle w:val="Gvdemetni2"/>
        </w:rPr>
        <w:t>•</w:t>
      </w:r>
    </w:p>
    <w:p w14:paraId="516B4DFA" w14:textId="77777777" w:rsidR="005959E1" w:rsidRDefault="003D354A">
      <w:pPr>
        <w:pStyle w:val="Gvdemetni20"/>
      </w:pPr>
      <w:r>
        <w:rPr>
          <w:rStyle w:val="Gvdemetni2"/>
        </w:rPr>
        <w:t>•</w:t>
      </w:r>
    </w:p>
    <w:p w14:paraId="1C9B5533" w14:textId="77777777" w:rsidR="005959E1" w:rsidRDefault="003D354A">
      <w:pPr>
        <w:pStyle w:val="Gvdemetni20"/>
        <w:spacing w:after="280"/>
      </w:pPr>
      <w:r>
        <w:rPr>
          <w:rStyle w:val="Gvdemetni2"/>
        </w:rPr>
        <w:t>•</w:t>
      </w:r>
    </w:p>
    <w:p w14:paraId="0E205627" w14:textId="77777777" w:rsidR="005959E1" w:rsidRDefault="003D354A">
      <w:pPr>
        <w:pStyle w:val="Gvdemetni0"/>
        <w:spacing w:after="1560"/>
      </w:pPr>
      <w:r>
        <w:rPr>
          <w:rStyle w:val="Gvdemetni"/>
          <w:b/>
          <w:bCs/>
        </w:rPr>
        <w:t>EDUCATIONAL BACKGROUND</w:t>
      </w:r>
    </w:p>
    <w:p w14:paraId="0995DABB" w14:textId="77777777" w:rsidR="005959E1" w:rsidRDefault="003D354A">
      <w:pPr>
        <w:pStyle w:val="Gvdemetni0"/>
        <w:spacing w:after="1560"/>
      </w:pPr>
      <w:r>
        <w:rPr>
          <w:rStyle w:val="Gvdemetni"/>
          <w:b/>
          <w:bCs/>
        </w:rPr>
        <w:t>PROFESSIONAL EXPERIENCES (Employment Record)</w:t>
      </w:r>
    </w:p>
    <w:p w14:paraId="54F4F320" w14:textId="77777777" w:rsidR="005959E1" w:rsidRDefault="003D354A">
      <w:pPr>
        <w:pStyle w:val="Tabloyazs0"/>
      </w:pPr>
      <w:r>
        <w:rPr>
          <w:rStyle w:val="Tabloyazs"/>
          <w:b/>
          <w:bCs/>
        </w:rPr>
        <w:t>Language Proficiency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275"/>
        <w:gridCol w:w="2261"/>
        <w:gridCol w:w="2270"/>
      </w:tblGrid>
      <w:tr w:rsidR="005959E1" w14:paraId="2C7DEC94" w14:textId="77777777">
        <w:trPr>
          <w:trHeight w:hRule="exact" w:val="274"/>
          <w:jc w:val="center"/>
        </w:trPr>
        <w:tc>
          <w:tcPr>
            <w:tcW w:w="2174" w:type="dxa"/>
            <w:tcBorders>
              <w:top w:val="single" w:sz="4" w:space="0" w:color="auto"/>
              <w:left w:val="single" w:sz="4" w:space="0" w:color="auto"/>
            </w:tcBorders>
            <w:shd w:val="clear" w:color="auto" w:fill="auto"/>
            <w:vAlign w:val="bottom"/>
          </w:tcPr>
          <w:p w14:paraId="541FFF7F" w14:textId="77777777" w:rsidR="005959E1" w:rsidRDefault="003D354A">
            <w:pPr>
              <w:pStyle w:val="Dier0"/>
              <w:spacing w:after="0"/>
            </w:pPr>
            <w:r>
              <w:rPr>
                <w:rStyle w:val="Dier"/>
              </w:rPr>
              <w:t>1.</w:t>
            </w:r>
          </w:p>
        </w:tc>
        <w:tc>
          <w:tcPr>
            <w:tcW w:w="2275" w:type="dxa"/>
            <w:tcBorders>
              <w:top w:val="single" w:sz="4" w:space="0" w:color="auto"/>
              <w:left w:val="single" w:sz="4" w:space="0" w:color="auto"/>
            </w:tcBorders>
            <w:shd w:val="clear" w:color="auto" w:fill="auto"/>
            <w:vAlign w:val="bottom"/>
          </w:tcPr>
          <w:p w14:paraId="6A99820D" w14:textId="77777777" w:rsidR="005959E1" w:rsidRDefault="003D354A">
            <w:pPr>
              <w:pStyle w:val="Dier0"/>
              <w:spacing w:after="0"/>
              <w:jc w:val="center"/>
            </w:pPr>
            <w:r>
              <w:rPr>
                <w:rStyle w:val="Dier"/>
              </w:rPr>
              <w:t>Excellent</w:t>
            </w:r>
          </w:p>
        </w:tc>
        <w:tc>
          <w:tcPr>
            <w:tcW w:w="2261" w:type="dxa"/>
            <w:tcBorders>
              <w:top w:val="single" w:sz="4" w:space="0" w:color="auto"/>
              <w:left w:val="single" w:sz="4" w:space="0" w:color="auto"/>
            </w:tcBorders>
            <w:shd w:val="clear" w:color="auto" w:fill="auto"/>
            <w:vAlign w:val="bottom"/>
          </w:tcPr>
          <w:p w14:paraId="1E1F218A" w14:textId="77777777" w:rsidR="005959E1" w:rsidRDefault="003D354A">
            <w:pPr>
              <w:pStyle w:val="Dier0"/>
              <w:spacing w:after="0"/>
              <w:jc w:val="center"/>
            </w:pPr>
            <w:r>
              <w:rPr>
                <w:rStyle w:val="Dier"/>
              </w:rPr>
              <w:t>Good</w:t>
            </w:r>
          </w:p>
        </w:tc>
        <w:tc>
          <w:tcPr>
            <w:tcW w:w="2270" w:type="dxa"/>
            <w:tcBorders>
              <w:top w:val="single" w:sz="4" w:space="0" w:color="auto"/>
              <w:left w:val="single" w:sz="4" w:space="0" w:color="auto"/>
              <w:right w:val="single" w:sz="4" w:space="0" w:color="auto"/>
            </w:tcBorders>
            <w:shd w:val="clear" w:color="auto" w:fill="auto"/>
            <w:vAlign w:val="bottom"/>
          </w:tcPr>
          <w:p w14:paraId="2B56656E" w14:textId="77777777" w:rsidR="005959E1" w:rsidRDefault="003D354A">
            <w:pPr>
              <w:pStyle w:val="Dier0"/>
              <w:spacing w:after="0"/>
              <w:jc w:val="center"/>
            </w:pPr>
            <w:r>
              <w:rPr>
                <w:rStyle w:val="Dier"/>
              </w:rPr>
              <w:t>Poor</w:t>
            </w:r>
          </w:p>
        </w:tc>
      </w:tr>
      <w:tr w:rsidR="005959E1" w14:paraId="39D3BD6D" w14:textId="77777777">
        <w:trPr>
          <w:trHeight w:hRule="exact" w:val="264"/>
          <w:jc w:val="center"/>
        </w:trPr>
        <w:tc>
          <w:tcPr>
            <w:tcW w:w="2174" w:type="dxa"/>
            <w:tcBorders>
              <w:top w:val="single" w:sz="4" w:space="0" w:color="auto"/>
              <w:left w:val="single" w:sz="4" w:space="0" w:color="auto"/>
            </w:tcBorders>
            <w:shd w:val="clear" w:color="auto" w:fill="auto"/>
            <w:vAlign w:val="bottom"/>
          </w:tcPr>
          <w:p w14:paraId="75E9A568" w14:textId="77777777" w:rsidR="005959E1" w:rsidRDefault="003D354A">
            <w:pPr>
              <w:pStyle w:val="Dier0"/>
              <w:spacing w:after="0"/>
            </w:pPr>
            <w:r>
              <w:rPr>
                <w:rStyle w:val="Dier"/>
              </w:rPr>
              <w:t>Reading</w:t>
            </w:r>
          </w:p>
        </w:tc>
        <w:tc>
          <w:tcPr>
            <w:tcW w:w="2275" w:type="dxa"/>
            <w:tcBorders>
              <w:top w:val="single" w:sz="4" w:space="0" w:color="auto"/>
              <w:left w:val="single" w:sz="4" w:space="0" w:color="auto"/>
            </w:tcBorders>
            <w:shd w:val="clear" w:color="auto" w:fill="auto"/>
          </w:tcPr>
          <w:p w14:paraId="1F7B771A" w14:textId="77777777" w:rsidR="005959E1" w:rsidRDefault="005959E1">
            <w:pPr>
              <w:rPr>
                <w:sz w:val="10"/>
                <w:szCs w:val="10"/>
              </w:rPr>
            </w:pPr>
          </w:p>
        </w:tc>
        <w:tc>
          <w:tcPr>
            <w:tcW w:w="2261" w:type="dxa"/>
            <w:tcBorders>
              <w:top w:val="single" w:sz="4" w:space="0" w:color="auto"/>
              <w:left w:val="single" w:sz="4" w:space="0" w:color="auto"/>
            </w:tcBorders>
            <w:shd w:val="clear" w:color="auto" w:fill="auto"/>
          </w:tcPr>
          <w:p w14:paraId="5E94DEB6" w14:textId="77777777" w:rsidR="005959E1" w:rsidRDefault="005959E1">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1030C3C9" w14:textId="77777777" w:rsidR="005959E1" w:rsidRDefault="005959E1">
            <w:pPr>
              <w:rPr>
                <w:sz w:val="10"/>
                <w:szCs w:val="10"/>
              </w:rPr>
            </w:pPr>
          </w:p>
        </w:tc>
      </w:tr>
      <w:tr w:rsidR="005959E1" w14:paraId="045CA8B2" w14:textId="77777777">
        <w:trPr>
          <w:trHeight w:hRule="exact" w:val="254"/>
          <w:jc w:val="center"/>
        </w:trPr>
        <w:tc>
          <w:tcPr>
            <w:tcW w:w="2174" w:type="dxa"/>
            <w:tcBorders>
              <w:top w:val="single" w:sz="4" w:space="0" w:color="auto"/>
              <w:left w:val="single" w:sz="4" w:space="0" w:color="auto"/>
            </w:tcBorders>
            <w:shd w:val="clear" w:color="auto" w:fill="auto"/>
            <w:vAlign w:val="bottom"/>
          </w:tcPr>
          <w:p w14:paraId="0B16DC69" w14:textId="77777777" w:rsidR="005959E1" w:rsidRDefault="003D354A">
            <w:pPr>
              <w:pStyle w:val="Dier0"/>
              <w:spacing w:after="0"/>
            </w:pPr>
            <w:r>
              <w:rPr>
                <w:rStyle w:val="Dier"/>
              </w:rPr>
              <w:t>Writing</w:t>
            </w:r>
          </w:p>
        </w:tc>
        <w:tc>
          <w:tcPr>
            <w:tcW w:w="2275" w:type="dxa"/>
            <w:tcBorders>
              <w:top w:val="single" w:sz="4" w:space="0" w:color="auto"/>
              <w:left w:val="single" w:sz="4" w:space="0" w:color="auto"/>
            </w:tcBorders>
            <w:shd w:val="clear" w:color="auto" w:fill="auto"/>
          </w:tcPr>
          <w:p w14:paraId="07126B82" w14:textId="77777777" w:rsidR="005959E1" w:rsidRDefault="005959E1">
            <w:pPr>
              <w:rPr>
                <w:sz w:val="10"/>
                <w:szCs w:val="10"/>
              </w:rPr>
            </w:pPr>
          </w:p>
        </w:tc>
        <w:tc>
          <w:tcPr>
            <w:tcW w:w="2261" w:type="dxa"/>
            <w:tcBorders>
              <w:top w:val="single" w:sz="4" w:space="0" w:color="auto"/>
              <w:left w:val="single" w:sz="4" w:space="0" w:color="auto"/>
            </w:tcBorders>
            <w:shd w:val="clear" w:color="auto" w:fill="auto"/>
          </w:tcPr>
          <w:p w14:paraId="68B31904" w14:textId="77777777" w:rsidR="005959E1" w:rsidRDefault="005959E1">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39D39089" w14:textId="77777777" w:rsidR="005959E1" w:rsidRDefault="005959E1">
            <w:pPr>
              <w:rPr>
                <w:sz w:val="10"/>
                <w:szCs w:val="10"/>
              </w:rPr>
            </w:pPr>
          </w:p>
        </w:tc>
      </w:tr>
      <w:tr w:rsidR="005959E1" w14:paraId="02A98C38" w14:textId="77777777">
        <w:trPr>
          <w:trHeight w:hRule="exact" w:val="278"/>
          <w:jc w:val="center"/>
        </w:trPr>
        <w:tc>
          <w:tcPr>
            <w:tcW w:w="2174" w:type="dxa"/>
            <w:tcBorders>
              <w:top w:val="single" w:sz="4" w:space="0" w:color="auto"/>
              <w:left w:val="single" w:sz="4" w:space="0" w:color="auto"/>
              <w:bottom w:val="single" w:sz="4" w:space="0" w:color="auto"/>
            </w:tcBorders>
            <w:shd w:val="clear" w:color="auto" w:fill="auto"/>
            <w:vAlign w:val="bottom"/>
          </w:tcPr>
          <w:p w14:paraId="71C06EBB" w14:textId="77777777" w:rsidR="005959E1" w:rsidRDefault="003D354A">
            <w:pPr>
              <w:pStyle w:val="Dier0"/>
              <w:spacing w:after="0"/>
            </w:pPr>
            <w:r>
              <w:rPr>
                <w:rStyle w:val="Dier"/>
              </w:rPr>
              <w:t>Speaking</w:t>
            </w:r>
          </w:p>
        </w:tc>
        <w:tc>
          <w:tcPr>
            <w:tcW w:w="2275" w:type="dxa"/>
            <w:tcBorders>
              <w:top w:val="single" w:sz="4" w:space="0" w:color="auto"/>
              <w:left w:val="single" w:sz="4" w:space="0" w:color="auto"/>
              <w:bottom w:val="single" w:sz="4" w:space="0" w:color="auto"/>
            </w:tcBorders>
            <w:shd w:val="clear" w:color="auto" w:fill="auto"/>
          </w:tcPr>
          <w:p w14:paraId="7E64F35E" w14:textId="77777777" w:rsidR="005959E1" w:rsidRDefault="005959E1">
            <w:pPr>
              <w:rPr>
                <w:sz w:val="10"/>
                <w:szCs w:val="10"/>
              </w:rPr>
            </w:pPr>
          </w:p>
        </w:tc>
        <w:tc>
          <w:tcPr>
            <w:tcW w:w="2261" w:type="dxa"/>
            <w:tcBorders>
              <w:top w:val="single" w:sz="4" w:space="0" w:color="auto"/>
              <w:left w:val="single" w:sz="4" w:space="0" w:color="auto"/>
              <w:bottom w:val="single" w:sz="4" w:space="0" w:color="auto"/>
            </w:tcBorders>
            <w:shd w:val="clear" w:color="auto" w:fill="auto"/>
          </w:tcPr>
          <w:p w14:paraId="01D94BAC" w14:textId="77777777" w:rsidR="005959E1" w:rsidRDefault="005959E1">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838B5F7" w14:textId="77777777" w:rsidR="005959E1" w:rsidRDefault="005959E1">
            <w:pPr>
              <w:rPr>
                <w:sz w:val="10"/>
                <w:szCs w:val="10"/>
              </w:rPr>
            </w:pPr>
          </w:p>
        </w:tc>
      </w:tr>
    </w:tbl>
    <w:p w14:paraId="3D74EF64" w14:textId="77777777" w:rsidR="005959E1" w:rsidRDefault="005959E1">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275"/>
        <w:gridCol w:w="2261"/>
        <w:gridCol w:w="2270"/>
      </w:tblGrid>
      <w:tr w:rsidR="005959E1" w14:paraId="1CBE4AB9" w14:textId="77777777">
        <w:trPr>
          <w:trHeight w:hRule="exact" w:val="269"/>
          <w:jc w:val="center"/>
        </w:trPr>
        <w:tc>
          <w:tcPr>
            <w:tcW w:w="2174" w:type="dxa"/>
            <w:tcBorders>
              <w:top w:val="single" w:sz="4" w:space="0" w:color="auto"/>
              <w:left w:val="single" w:sz="4" w:space="0" w:color="auto"/>
            </w:tcBorders>
            <w:shd w:val="clear" w:color="auto" w:fill="auto"/>
            <w:vAlign w:val="center"/>
          </w:tcPr>
          <w:p w14:paraId="4A109C9C" w14:textId="77777777" w:rsidR="005959E1" w:rsidRDefault="003D354A">
            <w:pPr>
              <w:pStyle w:val="Dier0"/>
              <w:spacing w:after="0"/>
            </w:pPr>
            <w:r>
              <w:rPr>
                <w:rStyle w:val="Dier"/>
              </w:rPr>
              <w:t>2.</w:t>
            </w:r>
          </w:p>
        </w:tc>
        <w:tc>
          <w:tcPr>
            <w:tcW w:w="2275" w:type="dxa"/>
            <w:tcBorders>
              <w:top w:val="single" w:sz="4" w:space="0" w:color="auto"/>
              <w:left w:val="single" w:sz="4" w:space="0" w:color="auto"/>
            </w:tcBorders>
            <w:shd w:val="clear" w:color="auto" w:fill="auto"/>
            <w:vAlign w:val="center"/>
          </w:tcPr>
          <w:p w14:paraId="7A54E8FB" w14:textId="77777777" w:rsidR="005959E1" w:rsidRDefault="003D354A">
            <w:pPr>
              <w:pStyle w:val="Dier0"/>
              <w:spacing w:after="0"/>
              <w:jc w:val="center"/>
            </w:pPr>
            <w:r>
              <w:rPr>
                <w:rStyle w:val="Dier"/>
              </w:rPr>
              <w:t>Excellent</w:t>
            </w:r>
          </w:p>
        </w:tc>
        <w:tc>
          <w:tcPr>
            <w:tcW w:w="2261" w:type="dxa"/>
            <w:tcBorders>
              <w:top w:val="single" w:sz="4" w:space="0" w:color="auto"/>
              <w:left w:val="single" w:sz="4" w:space="0" w:color="auto"/>
            </w:tcBorders>
            <w:shd w:val="clear" w:color="auto" w:fill="auto"/>
            <w:vAlign w:val="center"/>
          </w:tcPr>
          <w:p w14:paraId="267ADCFF" w14:textId="77777777" w:rsidR="005959E1" w:rsidRDefault="003D354A">
            <w:pPr>
              <w:pStyle w:val="Dier0"/>
              <w:spacing w:after="0"/>
              <w:jc w:val="center"/>
            </w:pPr>
            <w:r>
              <w:rPr>
                <w:rStyle w:val="Dier"/>
              </w:rPr>
              <w:t>Good</w:t>
            </w:r>
          </w:p>
        </w:tc>
        <w:tc>
          <w:tcPr>
            <w:tcW w:w="2270" w:type="dxa"/>
            <w:tcBorders>
              <w:top w:val="single" w:sz="4" w:space="0" w:color="auto"/>
              <w:left w:val="single" w:sz="4" w:space="0" w:color="auto"/>
              <w:right w:val="single" w:sz="4" w:space="0" w:color="auto"/>
            </w:tcBorders>
            <w:shd w:val="clear" w:color="auto" w:fill="auto"/>
            <w:vAlign w:val="center"/>
          </w:tcPr>
          <w:p w14:paraId="527CE732" w14:textId="77777777" w:rsidR="005959E1" w:rsidRDefault="003D354A">
            <w:pPr>
              <w:pStyle w:val="Dier0"/>
              <w:spacing w:after="0"/>
              <w:jc w:val="center"/>
            </w:pPr>
            <w:r>
              <w:rPr>
                <w:rStyle w:val="Dier"/>
              </w:rPr>
              <w:t>Poor</w:t>
            </w:r>
          </w:p>
        </w:tc>
      </w:tr>
      <w:tr w:rsidR="005959E1" w14:paraId="1F87A44C" w14:textId="77777777">
        <w:trPr>
          <w:trHeight w:hRule="exact" w:val="254"/>
          <w:jc w:val="center"/>
        </w:trPr>
        <w:tc>
          <w:tcPr>
            <w:tcW w:w="2174" w:type="dxa"/>
            <w:tcBorders>
              <w:top w:val="single" w:sz="4" w:space="0" w:color="auto"/>
              <w:left w:val="single" w:sz="4" w:space="0" w:color="auto"/>
            </w:tcBorders>
            <w:shd w:val="clear" w:color="auto" w:fill="auto"/>
            <w:vAlign w:val="bottom"/>
          </w:tcPr>
          <w:p w14:paraId="4B4561B7" w14:textId="77777777" w:rsidR="005959E1" w:rsidRDefault="003D354A">
            <w:pPr>
              <w:pStyle w:val="Dier0"/>
              <w:spacing w:after="0"/>
            </w:pPr>
            <w:r>
              <w:rPr>
                <w:rStyle w:val="Dier"/>
              </w:rPr>
              <w:t>Reading</w:t>
            </w:r>
          </w:p>
        </w:tc>
        <w:tc>
          <w:tcPr>
            <w:tcW w:w="2275" w:type="dxa"/>
            <w:tcBorders>
              <w:top w:val="single" w:sz="4" w:space="0" w:color="auto"/>
              <w:left w:val="single" w:sz="4" w:space="0" w:color="auto"/>
            </w:tcBorders>
            <w:shd w:val="clear" w:color="auto" w:fill="auto"/>
          </w:tcPr>
          <w:p w14:paraId="3FC28066" w14:textId="77777777" w:rsidR="005959E1" w:rsidRDefault="005959E1">
            <w:pPr>
              <w:rPr>
                <w:sz w:val="10"/>
                <w:szCs w:val="10"/>
              </w:rPr>
            </w:pPr>
          </w:p>
        </w:tc>
        <w:tc>
          <w:tcPr>
            <w:tcW w:w="2261" w:type="dxa"/>
            <w:tcBorders>
              <w:top w:val="single" w:sz="4" w:space="0" w:color="auto"/>
              <w:left w:val="single" w:sz="4" w:space="0" w:color="auto"/>
            </w:tcBorders>
            <w:shd w:val="clear" w:color="auto" w:fill="auto"/>
          </w:tcPr>
          <w:p w14:paraId="23C49782" w14:textId="77777777" w:rsidR="005959E1" w:rsidRDefault="005959E1">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47F51085" w14:textId="77777777" w:rsidR="005959E1" w:rsidRDefault="005959E1">
            <w:pPr>
              <w:rPr>
                <w:sz w:val="10"/>
                <w:szCs w:val="10"/>
              </w:rPr>
            </w:pPr>
          </w:p>
        </w:tc>
      </w:tr>
      <w:tr w:rsidR="005959E1" w14:paraId="058788E2" w14:textId="77777777">
        <w:trPr>
          <w:trHeight w:hRule="exact" w:val="269"/>
          <w:jc w:val="center"/>
        </w:trPr>
        <w:tc>
          <w:tcPr>
            <w:tcW w:w="2174" w:type="dxa"/>
            <w:tcBorders>
              <w:top w:val="single" w:sz="4" w:space="0" w:color="auto"/>
              <w:left w:val="single" w:sz="4" w:space="0" w:color="auto"/>
            </w:tcBorders>
            <w:shd w:val="clear" w:color="auto" w:fill="auto"/>
            <w:vAlign w:val="bottom"/>
          </w:tcPr>
          <w:p w14:paraId="31B6B341" w14:textId="77777777" w:rsidR="005959E1" w:rsidRDefault="003D354A">
            <w:pPr>
              <w:pStyle w:val="Dier0"/>
              <w:spacing w:after="0"/>
            </w:pPr>
            <w:r>
              <w:rPr>
                <w:rStyle w:val="Dier"/>
              </w:rPr>
              <w:t>Writing</w:t>
            </w:r>
          </w:p>
        </w:tc>
        <w:tc>
          <w:tcPr>
            <w:tcW w:w="2275" w:type="dxa"/>
            <w:tcBorders>
              <w:top w:val="single" w:sz="4" w:space="0" w:color="auto"/>
              <w:left w:val="single" w:sz="4" w:space="0" w:color="auto"/>
            </w:tcBorders>
            <w:shd w:val="clear" w:color="auto" w:fill="auto"/>
          </w:tcPr>
          <w:p w14:paraId="49078E91" w14:textId="77777777" w:rsidR="005959E1" w:rsidRDefault="005959E1">
            <w:pPr>
              <w:rPr>
                <w:sz w:val="10"/>
                <w:szCs w:val="10"/>
              </w:rPr>
            </w:pPr>
          </w:p>
        </w:tc>
        <w:tc>
          <w:tcPr>
            <w:tcW w:w="2261" w:type="dxa"/>
            <w:tcBorders>
              <w:top w:val="single" w:sz="4" w:space="0" w:color="auto"/>
              <w:left w:val="single" w:sz="4" w:space="0" w:color="auto"/>
            </w:tcBorders>
            <w:shd w:val="clear" w:color="auto" w:fill="auto"/>
          </w:tcPr>
          <w:p w14:paraId="41F5353B" w14:textId="77777777" w:rsidR="005959E1" w:rsidRDefault="005959E1">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7707E921" w14:textId="77777777" w:rsidR="005959E1" w:rsidRDefault="005959E1">
            <w:pPr>
              <w:rPr>
                <w:sz w:val="10"/>
                <w:szCs w:val="10"/>
              </w:rPr>
            </w:pPr>
          </w:p>
        </w:tc>
      </w:tr>
      <w:tr w:rsidR="005959E1" w14:paraId="3EECFE3D" w14:textId="77777777">
        <w:trPr>
          <w:trHeight w:hRule="exact" w:val="269"/>
          <w:jc w:val="center"/>
        </w:trPr>
        <w:tc>
          <w:tcPr>
            <w:tcW w:w="2174" w:type="dxa"/>
            <w:tcBorders>
              <w:top w:val="single" w:sz="4" w:space="0" w:color="auto"/>
              <w:left w:val="single" w:sz="4" w:space="0" w:color="auto"/>
              <w:bottom w:val="single" w:sz="4" w:space="0" w:color="auto"/>
            </w:tcBorders>
            <w:shd w:val="clear" w:color="auto" w:fill="auto"/>
            <w:vAlign w:val="bottom"/>
          </w:tcPr>
          <w:p w14:paraId="3B9AFD2D" w14:textId="77777777" w:rsidR="005959E1" w:rsidRDefault="003D354A">
            <w:pPr>
              <w:pStyle w:val="Dier0"/>
              <w:spacing w:after="0"/>
            </w:pPr>
            <w:r>
              <w:rPr>
                <w:rStyle w:val="Dier"/>
              </w:rPr>
              <w:t>Speaking</w:t>
            </w:r>
          </w:p>
        </w:tc>
        <w:tc>
          <w:tcPr>
            <w:tcW w:w="2275" w:type="dxa"/>
            <w:tcBorders>
              <w:top w:val="single" w:sz="4" w:space="0" w:color="auto"/>
              <w:left w:val="single" w:sz="4" w:space="0" w:color="auto"/>
              <w:bottom w:val="single" w:sz="4" w:space="0" w:color="auto"/>
            </w:tcBorders>
            <w:shd w:val="clear" w:color="auto" w:fill="auto"/>
          </w:tcPr>
          <w:p w14:paraId="43EF6E3B" w14:textId="77777777" w:rsidR="005959E1" w:rsidRDefault="005959E1">
            <w:pPr>
              <w:rPr>
                <w:sz w:val="10"/>
                <w:szCs w:val="10"/>
              </w:rPr>
            </w:pPr>
          </w:p>
        </w:tc>
        <w:tc>
          <w:tcPr>
            <w:tcW w:w="2261" w:type="dxa"/>
            <w:tcBorders>
              <w:top w:val="single" w:sz="4" w:space="0" w:color="auto"/>
              <w:left w:val="single" w:sz="4" w:space="0" w:color="auto"/>
              <w:bottom w:val="single" w:sz="4" w:space="0" w:color="auto"/>
            </w:tcBorders>
            <w:shd w:val="clear" w:color="auto" w:fill="auto"/>
          </w:tcPr>
          <w:p w14:paraId="5364A0D4" w14:textId="77777777" w:rsidR="005959E1" w:rsidRDefault="005959E1">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67AC539" w14:textId="77777777" w:rsidR="005959E1" w:rsidRDefault="005959E1">
            <w:pPr>
              <w:rPr>
                <w:sz w:val="10"/>
                <w:szCs w:val="10"/>
              </w:rPr>
            </w:pPr>
          </w:p>
        </w:tc>
      </w:tr>
    </w:tbl>
    <w:p w14:paraId="24E23E88" w14:textId="77777777" w:rsidR="005959E1" w:rsidRDefault="005959E1">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275"/>
        <w:gridCol w:w="2261"/>
        <w:gridCol w:w="2270"/>
      </w:tblGrid>
      <w:tr w:rsidR="005959E1" w14:paraId="3F9BD4FC" w14:textId="77777777">
        <w:trPr>
          <w:trHeight w:hRule="exact" w:val="269"/>
          <w:jc w:val="center"/>
        </w:trPr>
        <w:tc>
          <w:tcPr>
            <w:tcW w:w="2174" w:type="dxa"/>
            <w:tcBorders>
              <w:top w:val="single" w:sz="4" w:space="0" w:color="auto"/>
              <w:left w:val="single" w:sz="4" w:space="0" w:color="auto"/>
            </w:tcBorders>
            <w:shd w:val="clear" w:color="auto" w:fill="auto"/>
            <w:vAlign w:val="center"/>
          </w:tcPr>
          <w:p w14:paraId="1685AF1E" w14:textId="77777777" w:rsidR="005959E1" w:rsidRDefault="003D354A">
            <w:pPr>
              <w:pStyle w:val="Dier0"/>
              <w:spacing w:after="0"/>
            </w:pPr>
            <w:r>
              <w:rPr>
                <w:rStyle w:val="Dier"/>
              </w:rPr>
              <w:t>3.</w:t>
            </w:r>
          </w:p>
        </w:tc>
        <w:tc>
          <w:tcPr>
            <w:tcW w:w="2275" w:type="dxa"/>
            <w:tcBorders>
              <w:top w:val="single" w:sz="4" w:space="0" w:color="auto"/>
              <w:left w:val="single" w:sz="4" w:space="0" w:color="auto"/>
            </w:tcBorders>
            <w:shd w:val="clear" w:color="auto" w:fill="auto"/>
            <w:vAlign w:val="center"/>
          </w:tcPr>
          <w:p w14:paraId="219BBEDC" w14:textId="77777777" w:rsidR="005959E1" w:rsidRDefault="003D354A">
            <w:pPr>
              <w:pStyle w:val="Dier0"/>
              <w:spacing w:after="0"/>
              <w:jc w:val="center"/>
            </w:pPr>
            <w:r>
              <w:rPr>
                <w:rStyle w:val="Dier"/>
              </w:rPr>
              <w:t>Excellent</w:t>
            </w:r>
          </w:p>
        </w:tc>
        <w:tc>
          <w:tcPr>
            <w:tcW w:w="2261" w:type="dxa"/>
            <w:tcBorders>
              <w:top w:val="single" w:sz="4" w:space="0" w:color="auto"/>
              <w:left w:val="single" w:sz="4" w:space="0" w:color="auto"/>
            </w:tcBorders>
            <w:shd w:val="clear" w:color="auto" w:fill="auto"/>
            <w:vAlign w:val="center"/>
          </w:tcPr>
          <w:p w14:paraId="6EF5B0CC" w14:textId="77777777" w:rsidR="005959E1" w:rsidRDefault="003D354A">
            <w:pPr>
              <w:pStyle w:val="Dier0"/>
              <w:spacing w:after="0"/>
              <w:jc w:val="center"/>
            </w:pPr>
            <w:r>
              <w:rPr>
                <w:rStyle w:val="Dier"/>
              </w:rPr>
              <w:t>Good</w:t>
            </w:r>
          </w:p>
        </w:tc>
        <w:tc>
          <w:tcPr>
            <w:tcW w:w="2270" w:type="dxa"/>
            <w:tcBorders>
              <w:top w:val="single" w:sz="4" w:space="0" w:color="auto"/>
              <w:left w:val="single" w:sz="4" w:space="0" w:color="auto"/>
              <w:right w:val="single" w:sz="4" w:space="0" w:color="auto"/>
            </w:tcBorders>
            <w:shd w:val="clear" w:color="auto" w:fill="auto"/>
            <w:vAlign w:val="center"/>
          </w:tcPr>
          <w:p w14:paraId="628C68C2" w14:textId="77777777" w:rsidR="005959E1" w:rsidRDefault="003D354A">
            <w:pPr>
              <w:pStyle w:val="Dier0"/>
              <w:spacing w:after="0"/>
              <w:jc w:val="center"/>
            </w:pPr>
            <w:r>
              <w:rPr>
                <w:rStyle w:val="Dier"/>
              </w:rPr>
              <w:t>Poor</w:t>
            </w:r>
          </w:p>
        </w:tc>
      </w:tr>
      <w:tr w:rsidR="005959E1" w14:paraId="07255334" w14:textId="77777777">
        <w:trPr>
          <w:trHeight w:hRule="exact" w:val="254"/>
          <w:jc w:val="center"/>
        </w:trPr>
        <w:tc>
          <w:tcPr>
            <w:tcW w:w="2174" w:type="dxa"/>
            <w:tcBorders>
              <w:top w:val="single" w:sz="4" w:space="0" w:color="auto"/>
              <w:left w:val="single" w:sz="4" w:space="0" w:color="auto"/>
            </w:tcBorders>
            <w:shd w:val="clear" w:color="auto" w:fill="auto"/>
            <w:vAlign w:val="bottom"/>
          </w:tcPr>
          <w:p w14:paraId="5846A0B6" w14:textId="77777777" w:rsidR="005959E1" w:rsidRDefault="003D354A">
            <w:pPr>
              <w:pStyle w:val="Dier0"/>
              <w:spacing w:after="0"/>
            </w:pPr>
            <w:r>
              <w:rPr>
                <w:rStyle w:val="Dier"/>
              </w:rPr>
              <w:t>Reading</w:t>
            </w:r>
          </w:p>
        </w:tc>
        <w:tc>
          <w:tcPr>
            <w:tcW w:w="2275" w:type="dxa"/>
            <w:tcBorders>
              <w:top w:val="single" w:sz="4" w:space="0" w:color="auto"/>
              <w:left w:val="single" w:sz="4" w:space="0" w:color="auto"/>
            </w:tcBorders>
            <w:shd w:val="clear" w:color="auto" w:fill="auto"/>
          </w:tcPr>
          <w:p w14:paraId="289045CD" w14:textId="77777777" w:rsidR="005959E1" w:rsidRDefault="005959E1">
            <w:pPr>
              <w:rPr>
                <w:sz w:val="10"/>
                <w:szCs w:val="10"/>
              </w:rPr>
            </w:pPr>
          </w:p>
        </w:tc>
        <w:tc>
          <w:tcPr>
            <w:tcW w:w="2261" w:type="dxa"/>
            <w:tcBorders>
              <w:top w:val="single" w:sz="4" w:space="0" w:color="auto"/>
              <w:left w:val="single" w:sz="4" w:space="0" w:color="auto"/>
            </w:tcBorders>
            <w:shd w:val="clear" w:color="auto" w:fill="auto"/>
          </w:tcPr>
          <w:p w14:paraId="41D2A197" w14:textId="77777777" w:rsidR="005959E1" w:rsidRDefault="005959E1">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488DE8B5" w14:textId="77777777" w:rsidR="005959E1" w:rsidRDefault="005959E1">
            <w:pPr>
              <w:rPr>
                <w:sz w:val="10"/>
                <w:szCs w:val="10"/>
              </w:rPr>
            </w:pPr>
          </w:p>
        </w:tc>
      </w:tr>
      <w:tr w:rsidR="005959E1" w14:paraId="7A34B9BC" w14:textId="77777777">
        <w:trPr>
          <w:trHeight w:hRule="exact" w:val="269"/>
          <w:jc w:val="center"/>
        </w:trPr>
        <w:tc>
          <w:tcPr>
            <w:tcW w:w="2174" w:type="dxa"/>
            <w:tcBorders>
              <w:top w:val="single" w:sz="4" w:space="0" w:color="auto"/>
              <w:left w:val="single" w:sz="4" w:space="0" w:color="auto"/>
            </w:tcBorders>
            <w:shd w:val="clear" w:color="auto" w:fill="auto"/>
            <w:vAlign w:val="bottom"/>
          </w:tcPr>
          <w:p w14:paraId="3DF5B780" w14:textId="77777777" w:rsidR="005959E1" w:rsidRDefault="003D354A">
            <w:pPr>
              <w:pStyle w:val="Dier0"/>
              <w:spacing w:after="0"/>
            </w:pPr>
            <w:r>
              <w:rPr>
                <w:rStyle w:val="Dier"/>
              </w:rPr>
              <w:t>Writing</w:t>
            </w:r>
          </w:p>
        </w:tc>
        <w:tc>
          <w:tcPr>
            <w:tcW w:w="2275" w:type="dxa"/>
            <w:tcBorders>
              <w:top w:val="single" w:sz="4" w:space="0" w:color="auto"/>
              <w:left w:val="single" w:sz="4" w:space="0" w:color="auto"/>
            </w:tcBorders>
            <w:shd w:val="clear" w:color="auto" w:fill="auto"/>
          </w:tcPr>
          <w:p w14:paraId="168D7987" w14:textId="77777777" w:rsidR="005959E1" w:rsidRDefault="005959E1">
            <w:pPr>
              <w:rPr>
                <w:sz w:val="10"/>
                <w:szCs w:val="10"/>
              </w:rPr>
            </w:pPr>
          </w:p>
        </w:tc>
        <w:tc>
          <w:tcPr>
            <w:tcW w:w="2261" w:type="dxa"/>
            <w:tcBorders>
              <w:top w:val="single" w:sz="4" w:space="0" w:color="auto"/>
              <w:left w:val="single" w:sz="4" w:space="0" w:color="auto"/>
            </w:tcBorders>
            <w:shd w:val="clear" w:color="auto" w:fill="auto"/>
          </w:tcPr>
          <w:p w14:paraId="4C7BE338" w14:textId="77777777" w:rsidR="005959E1" w:rsidRDefault="005959E1">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47C8B781" w14:textId="77777777" w:rsidR="005959E1" w:rsidRDefault="005959E1">
            <w:pPr>
              <w:rPr>
                <w:sz w:val="10"/>
                <w:szCs w:val="10"/>
              </w:rPr>
            </w:pPr>
          </w:p>
        </w:tc>
      </w:tr>
      <w:tr w:rsidR="005959E1" w14:paraId="3E96EE71" w14:textId="77777777">
        <w:trPr>
          <w:trHeight w:hRule="exact" w:val="274"/>
          <w:jc w:val="center"/>
        </w:trPr>
        <w:tc>
          <w:tcPr>
            <w:tcW w:w="2174" w:type="dxa"/>
            <w:tcBorders>
              <w:top w:val="single" w:sz="4" w:space="0" w:color="auto"/>
              <w:left w:val="single" w:sz="4" w:space="0" w:color="auto"/>
              <w:bottom w:val="single" w:sz="4" w:space="0" w:color="auto"/>
            </w:tcBorders>
            <w:shd w:val="clear" w:color="auto" w:fill="auto"/>
            <w:vAlign w:val="bottom"/>
          </w:tcPr>
          <w:p w14:paraId="53C65463" w14:textId="77777777" w:rsidR="005959E1" w:rsidRDefault="003D354A">
            <w:pPr>
              <w:pStyle w:val="Dier0"/>
              <w:spacing w:after="0"/>
            </w:pPr>
            <w:r>
              <w:rPr>
                <w:rStyle w:val="Dier"/>
              </w:rPr>
              <w:t>Speaking</w:t>
            </w:r>
          </w:p>
        </w:tc>
        <w:tc>
          <w:tcPr>
            <w:tcW w:w="2275" w:type="dxa"/>
            <w:tcBorders>
              <w:top w:val="single" w:sz="4" w:space="0" w:color="auto"/>
              <w:left w:val="single" w:sz="4" w:space="0" w:color="auto"/>
              <w:bottom w:val="single" w:sz="4" w:space="0" w:color="auto"/>
            </w:tcBorders>
            <w:shd w:val="clear" w:color="auto" w:fill="auto"/>
          </w:tcPr>
          <w:p w14:paraId="7AA033CD" w14:textId="77777777" w:rsidR="005959E1" w:rsidRDefault="005959E1">
            <w:pPr>
              <w:rPr>
                <w:sz w:val="10"/>
                <w:szCs w:val="10"/>
              </w:rPr>
            </w:pPr>
          </w:p>
        </w:tc>
        <w:tc>
          <w:tcPr>
            <w:tcW w:w="2261" w:type="dxa"/>
            <w:tcBorders>
              <w:top w:val="single" w:sz="4" w:space="0" w:color="auto"/>
              <w:left w:val="single" w:sz="4" w:space="0" w:color="auto"/>
              <w:bottom w:val="single" w:sz="4" w:space="0" w:color="auto"/>
            </w:tcBorders>
            <w:shd w:val="clear" w:color="auto" w:fill="auto"/>
          </w:tcPr>
          <w:p w14:paraId="6EF03781" w14:textId="77777777" w:rsidR="005959E1" w:rsidRDefault="005959E1">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08E4FC5" w14:textId="77777777" w:rsidR="005959E1" w:rsidRDefault="005959E1">
            <w:pPr>
              <w:rPr>
                <w:sz w:val="10"/>
                <w:szCs w:val="10"/>
              </w:rPr>
            </w:pPr>
          </w:p>
        </w:tc>
      </w:tr>
    </w:tbl>
    <w:p w14:paraId="3F462F88" w14:textId="77777777" w:rsidR="005959E1" w:rsidRDefault="003D354A">
      <w:pPr>
        <w:pStyle w:val="Balk10"/>
        <w:keepNext/>
        <w:keepLines/>
        <w:spacing w:after="240"/>
        <w:ind w:firstLine="0"/>
      </w:pPr>
      <w:bookmarkStart w:id="14" w:name="bookmark25"/>
      <w:r>
        <w:rPr>
          <w:rStyle w:val="Balk1"/>
          <w:b/>
          <w:bCs/>
        </w:rPr>
        <w:t>Computing Knowledge</w:t>
      </w:r>
      <w:bookmarkEnd w:id="14"/>
    </w:p>
    <w:p w14:paraId="029A3D04" w14:textId="77777777" w:rsidR="005959E1" w:rsidRDefault="003D354A">
      <w:pPr>
        <w:pStyle w:val="Gvdemetni0"/>
        <w:spacing w:after="60"/>
      </w:pPr>
      <w:r>
        <w:rPr>
          <w:rStyle w:val="Gvdemetni"/>
        </w:rPr>
        <w:t>Experience in:</w:t>
      </w:r>
    </w:p>
    <w:p w14:paraId="7223764D" w14:textId="77777777" w:rsidR="005959E1" w:rsidRDefault="003D354A">
      <w:pPr>
        <w:pStyle w:val="Gvdemetni20"/>
      </w:pPr>
      <w:r>
        <w:rPr>
          <w:rStyle w:val="Gvdemetni2"/>
        </w:rPr>
        <w:lastRenderedPageBreak/>
        <w:t>•</w:t>
      </w:r>
    </w:p>
    <w:p w14:paraId="557E5C7D" w14:textId="77777777" w:rsidR="005959E1" w:rsidRDefault="003D354A">
      <w:pPr>
        <w:pStyle w:val="Gvdemetni20"/>
      </w:pPr>
      <w:r>
        <w:rPr>
          <w:rStyle w:val="Gvdemetni2"/>
        </w:rPr>
        <w:t>•</w:t>
      </w:r>
    </w:p>
    <w:p w14:paraId="6BAF0332" w14:textId="77777777" w:rsidR="005959E1" w:rsidRDefault="003D354A">
      <w:pPr>
        <w:pStyle w:val="Gvdemetni20"/>
      </w:pPr>
      <w:r>
        <w:rPr>
          <w:rStyle w:val="Gvdemetni2"/>
        </w:rPr>
        <w:t>•</w:t>
      </w:r>
    </w:p>
    <w:p w14:paraId="341A828F" w14:textId="77777777" w:rsidR="005959E1" w:rsidRDefault="003D354A">
      <w:pPr>
        <w:pStyle w:val="Gvdemetni20"/>
        <w:spacing w:after="280"/>
      </w:pPr>
      <w:r>
        <w:rPr>
          <w:rStyle w:val="Gvdemetni2"/>
        </w:rPr>
        <w:t>•</w:t>
      </w:r>
    </w:p>
    <w:p w14:paraId="780F8947" w14:textId="77777777" w:rsidR="005959E1" w:rsidRDefault="003D354A">
      <w:pPr>
        <w:pStyle w:val="Gvdemetni0"/>
        <w:spacing w:after="240"/>
      </w:pPr>
      <w:r>
        <w:rPr>
          <w:rStyle w:val="Gvdemetni"/>
          <w:b/>
          <w:bCs/>
        </w:rPr>
        <w:t>Membership of Professional Societies :</w:t>
      </w:r>
    </w:p>
    <w:p w14:paraId="07126720" w14:textId="77777777" w:rsidR="005959E1" w:rsidRDefault="003D354A">
      <w:pPr>
        <w:pStyle w:val="Gvdemetni0"/>
        <w:tabs>
          <w:tab w:val="left" w:pos="3413"/>
        </w:tabs>
        <w:spacing w:after="240"/>
      </w:pPr>
      <w:r>
        <w:rPr>
          <w:rStyle w:val="Gvdemetni"/>
          <w:b/>
          <w:bCs/>
        </w:rPr>
        <w:t>References and transcripts</w:t>
      </w:r>
      <w:r>
        <w:rPr>
          <w:rStyle w:val="Gvdemetni"/>
          <w:b/>
          <w:bCs/>
        </w:rPr>
        <w:tab/>
        <w:t>: AVAILABLE UPON REQUEST</w:t>
      </w:r>
    </w:p>
    <w:p w14:paraId="680AF3B0" w14:textId="77777777" w:rsidR="005959E1" w:rsidRDefault="003D354A">
      <w:pPr>
        <w:pStyle w:val="Gvdemetni0"/>
        <w:spacing w:after="240"/>
      </w:pPr>
      <w:r>
        <w:rPr>
          <w:rStyle w:val="Gvdemetni"/>
          <w:b/>
          <w:bCs/>
        </w:rPr>
        <w:t>Certification</w:t>
      </w:r>
    </w:p>
    <w:p w14:paraId="0733A891" w14:textId="77777777" w:rsidR="005959E1" w:rsidRDefault="003D354A">
      <w:pPr>
        <w:pStyle w:val="Gvdemetni0"/>
        <w:spacing w:after="240"/>
        <w:ind w:firstLine="980"/>
      </w:pPr>
      <w:r>
        <w:rPr>
          <w:rStyle w:val="Gvdemetni"/>
        </w:rPr>
        <w:t>I, the undersigned, certify that to the best of my knowledge and belief, this biodata correctly describes myself, my qualifications and my experience.</w:t>
      </w:r>
    </w:p>
    <w:p w14:paraId="63D67F4A" w14:textId="77777777" w:rsidR="005959E1" w:rsidRDefault="003D354A">
      <w:pPr>
        <w:pStyle w:val="Gvdemetni0"/>
        <w:tabs>
          <w:tab w:val="left" w:pos="6360"/>
        </w:tabs>
        <w:spacing w:after="240"/>
      </w:pPr>
      <w:r>
        <w:rPr>
          <w:rStyle w:val="Gvdemetni"/>
        </w:rPr>
        <w:t>Signature</w:t>
      </w:r>
      <w:r>
        <w:rPr>
          <w:rStyle w:val="Gvdemetni"/>
        </w:rPr>
        <w:tab/>
        <w:t>Date</w:t>
      </w:r>
    </w:p>
    <w:sectPr w:rsidR="005959E1">
      <w:footerReference w:type="even" r:id="rId16"/>
      <w:footerReference w:type="default" r:id="rId17"/>
      <w:footerReference w:type="first" r:id="rId18"/>
      <w:pgSz w:w="11900" w:h="16840"/>
      <w:pgMar w:top="1417" w:right="932" w:bottom="1975" w:left="127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D4E6" w14:textId="77777777" w:rsidR="003D354A" w:rsidRDefault="003D354A">
      <w:r>
        <w:separator/>
      </w:r>
    </w:p>
  </w:endnote>
  <w:endnote w:type="continuationSeparator" w:id="0">
    <w:p w14:paraId="14735E29" w14:textId="77777777" w:rsidR="003D354A" w:rsidRDefault="003D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0764" w14:textId="77777777" w:rsidR="003D354A" w:rsidRDefault="003D35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80CA" w14:textId="24F86983" w:rsidR="005959E1" w:rsidRDefault="008C7A74" w:rsidP="008C7A74">
    <w:pPr>
      <w:spacing w:line="1" w:lineRule="exact"/>
    </w:pPr>
    <w:bookmarkStart w:id="10" w:name="DocumentMarkings1FooterPrimary"/>
    <w:r w:rsidRPr="008C7A74">
      <w:rPr>
        <w:sz w:val="17"/>
      </w:rPr>
      <w:t> </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9DF" w14:textId="6B47C6B0" w:rsidR="005959E1" w:rsidRDefault="008C7A74" w:rsidP="008C7A74">
    <w:pPr>
      <w:spacing w:line="1" w:lineRule="exact"/>
    </w:pPr>
    <w:bookmarkStart w:id="11" w:name="DocumentMarkings1FooterFirstPage"/>
    <w:r w:rsidRPr="008C7A74">
      <w:rPr>
        <w:sz w:val="17"/>
      </w:rPr>
      <w:t> </w:t>
    </w:r>
    <w:bookmarkEnd w:id="1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3507" w14:textId="77777777" w:rsidR="008C7A74" w:rsidRDefault="008C7A74">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6AEB" w14:textId="6A97C1CD" w:rsidR="005959E1" w:rsidRDefault="008C7A74" w:rsidP="008C7A74">
    <w:pPr>
      <w:spacing w:line="1" w:lineRule="exact"/>
    </w:pPr>
    <w:bookmarkStart w:id="15" w:name="DocumentMarkings2FooterPrimary"/>
    <w:r w:rsidRPr="008C7A74">
      <w:rPr>
        <w:sz w:val="17"/>
      </w:rPr>
      <w:t> </w:t>
    </w:r>
    <w:bookmarkEnd w:id="1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AEBE" w14:textId="2B0E32F7" w:rsidR="005959E1" w:rsidRDefault="008C7A74" w:rsidP="008C7A74">
    <w:pPr>
      <w:spacing w:line="1" w:lineRule="exact"/>
    </w:pPr>
    <w:bookmarkStart w:id="16" w:name="DocumentMarkings2FooterFirstPage"/>
    <w:r w:rsidRPr="008C7A74">
      <w:rPr>
        <w:sz w:val="17"/>
      </w:rPr>
      <w:t> </w:t>
    </w:r>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9329" w14:textId="77777777" w:rsidR="005959E1" w:rsidRDefault="005959E1"/>
  </w:footnote>
  <w:footnote w:type="continuationSeparator" w:id="0">
    <w:p w14:paraId="14FB188F" w14:textId="77777777" w:rsidR="005959E1" w:rsidRDefault="00595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3C28" w14:textId="77777777" w:rsidR="003D354A" w:rsidRDefault="003D35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B7E9" w14:textId="77777777" w:rsidR="003D354A" w:rsidRDefault="003D35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FCAC" w14:textId="77777777" w:rsidR="003D354A" w:rsidRDefault="003D35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752C"/>
    <w:multiLevelType w:val="multilevel"/>
    <w:tmpl w:val="B6FA2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E2F45"/>
    <w:multiLevelType w:val="multilevel"/>
    <w:tmpl w:val="53B2360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D6284"/>
    <w:multiLevelType w:val="multilevel"/>
    <w:tmpl w:val="63F07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6E43D9"/>
    <w:multiLevelType w:val="multilevel"/>
    <w:tmpl w:val="1C62653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540BD3"/>
    <w:multiLevelType w:val="multilevel"/>
    <w:tmpl w:val="875C44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A16E20"/>
    <w:multiLevelType w:val="multilevel"/>
    <w:tmpl w:val="44421F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C47E43"/>
    <w:multiLevelType w:val="multilevel"/>
    <w:tmpl w:val="2CAE5D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4081604">
    <w:abstractNumId w:val="6"/>
  </w:num>
  <w:num w:numId="2" w16cid:durableId="2082483515">
    <w:abstractNumId w:val="4"/>
  </w:num>
  <w:num w:numId="3" w16cid:durableId="980310114">
    <w:abstractNumId w:val="3"/>
  </w:num>
  <w:num w:numId="4" w16cid:durableId="574049272">
    <w:abstractNumId w:val="0"/>
  </w:num>
  <w:num w:numId="5" w16cid:durableId="715393119">
    <w:abstractNumId w:val="1"/>
  </w:num>
  <w:num w:numId="6" w16cid:durableId="1457404240">
    <w:abstractNumId w:val="2"/>
  </w:num>
  <w:num w:numId="7" w16cid:durableId="417560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E1"/>
    <w:rsid w:val="003C615C"/>
    <w:rsid w:val="003D354A"/>
    <w:rsid w:val="005959E1"/>
    <w:rsid w:val="006E1CD3"/>
    <w:rsid w:val="008C7A74"/>
    <w:rsid w:val="00E65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28B4"/>
  <w15:docId w15:val="{FA89641F-073C-49E0-A076-1F7BDB2D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2"/>
      <w:szCs w:val="22"/>
      <w:u w:val="none"/>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2"/>
      <w:szCs w:val="2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2"/>
      <w:szCs w:val="22"/>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0"/>
      <w:szCs w:val="20"/>
      <w:u w:val="none"/>
    </w:rPr>
  </w:style>
  <w:style w:type="paragraph" w:customStyle="1" w:styleId="Gvdemetni0">
    <w:name w:val="Gövde metni"/>
    <w:basedOn w:val="Normal"/>
    <w:link w:val="Gvdemetni"/>
    <w:pPr>
      <w:spacing w:after="220"/>
    </w:pPr>
    <w:rPr>
      <w:rFonts w:ascii="Times New Roman" w:eastAsia="Times New Roman" w:hAnsi="Times New Roman" w:cs="Times New Roman"/>
      <w:sz w:val="22"/>
      <w:szCs w:val="2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spacing w:after="220"/>
      <w:ind w:firstLine="380"/>
      <w:outlineLvl w:val="0"/>
    </w:pPr>
    <w:rPr>
      <w:rFonts w:ascii="Times New Roman" w:eastAsia="Times New Roman" w:hAnsi="Times New Roman" w:cs="Times New Roman"/>
      <w:b/>
      <w:bCs/>
      <w:sz w:val="22"/>
      <w:szCs w:val="22"/>
    </w:rPr>
  </w:style>
  <w:style w:type="paragraph" w:customStyle="1" w:styleId="Tabloyazs0">
    <w:name w:val="Tablo yazısı"/>
    <w:basedOn w:val="Normal"/>
    <w:link w:val="Tabloyazs"/>
    <w:rPr>
      <w:rFonts w:ascii="Times New Roman" w:eastAsia="Times New Roman" w:hAnsi="Times New Roman" w:cs="Times New Roman"/>
      <w:b/>
      <w:bCs/>
      <w:sz w:val="22"/>
      <w:szCs w:val="22"/>
    </w:rPr>
  </w:style>
  <w:style w:type="paragraph" w:customStyle="1" w:styleId="Dier0">
    <w:name w:val="Diğer"/>
    <w:basedOn w:val="Normal"/>
    <w:link w:val="Dier"/>
    <w:pPr>
      <w:spacing w:after="220"/>
    </w:pPr>
    <w:rPr>
      <w:rFonts w:ascii="Times New Roman" w:eastAsia="Times New Roman" w:hAnsi="Times New Roman" w:cs="Times New Roman"/>
      <w:sz w:val="22"/>
      <w:szCs w:val="22"/>
    </w:rPr>
  </w:style>
  <w:style w:type="paragraph" w:customStyle="1" w:styleId="Gvdemetni20">
    <w:name w:val="Gövde metni (2)"/>
    <w:basedOn w:val="Normal"/>
    <w:link w:val="Gvdemetni2"/>
    <w:pPr>
      <w:spacing w:after="100"/>
      <w:ind w:firstLine="480"/>
    </w:pPr>
    <w:rPr>
      <w:rFonts w:ascii="Arial" w:eastAsia="Arial" w:hAnsi="Arial" w:cs="Arial"/>
      <w:sz w:val="20"/>
      <w:szCs w:val="20"/>
    </w:rPr>
  </w:style>
  <w:style w:type="paragraph" w:styleId="stBilgi">
    <w:name w:val="header"/>
    <w:basedOn w:val="Normal"/>
    <w:link w:val="stBilgiChar"/>
    <w:uiPriority w:val="99"/>
    <w:unhideWhenUsed/>
    <w:rsid w:val="003D354A"/>
    <w:pPr>
      <w:tabs>
        <w:tab w:val="center" w:pos="4536"/>
        <w:tab w:val="right" w:pos="9072"/>
      </w:tabs>
    </w:pPr>
  </w:style>
  <w:style w:type="character" w:customStyle="1" w:styleId="stBilgiChar">
    <w:name w:val="Üst Bilgi Char"/>
    <w:basedOn w:val="VarsaylanParagrafYazTipi"/>
    <w:link w:val="stBilgi"/>
    <w:uiPriority w:val="99"/>
    <w:rsid w:val="003D354A"/>
    <w:rPr>
      <w:color w:val="000000"/>
    </w:rPr>
  </w:style>
  <w:style w:type="paragraph" w:styleId="AltBilgi">
    <w:name w:val="footer"/>
    <w:basedOn w:val="Normal"/>
    <w:link w:val="AltBilgiChar"/>
    <w:uiPriority w:val="99"/>
    <w:unhideWhenUsed/>
    <w:rsid w:val="003D354A"/>
    <w:pPr>
      <w:tabs>
        <w:tab w:val="center" w:pos="4536"/>
        <w:tab w:val="right" w:pos="9072"/>
      </w:tabs>
    </w:pPr>
  </w:style>
  <w:style w:type="character" w:customStyle="1" w:styleId="AltBilgiChar">
    <w:name w:val="Alt Bilgi Char"/>
    <w:basedOn w:val="VarsaylanParagrafYazTipi"/>
    <w:link w:val="AltBilgi"/>
    <w:uiPriority w:val="99"/>
    <w:rsid w:val="003D35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ybafet@ilbank.gov.tr"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lbank.gov.t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togrul@ilban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2302</Words>
  <Characters>14442</Characters>
  <Application>Microsoft Office Word</Application>
  <DocSecurity>0</DocSecurity>
  <Lines>285</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ILBANK</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Hızal</dc:creator>
  <cp:keywords>TD-fm60hhw8, N-kq84q69a</cp:keywords>
  <cp:lastModifiedBy>Berna Eroğlu Kılıç</cp:lastModifiedBy>
  <cp:revision>3</cp:revision>
  <dcterms:created xsi:type="dcterms:W3CDTF">2025-05-07T07:14:00Z</dcterms:created>
  <dcterms:modified xsi:type="dcterms:W3CDTF">2025-05-07T08:31:00Z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1175c404-5b7a-447c-b17c-355c4a2d83e6</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