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8CC0" w14:textId="77777777" w:rsidR="006105DF" w:rsidRPr="00225388" w:rsidRDefault="006105DF" w:rsidP="006105DF">
      <w:pPr>
        <w:pStyle w:val="paragraph"/>
        <w:spacing w:before="0" w:beforeAutospacing="0" w:after="0" w:afterAutospacing="0"/>
        <w:jc w:val="both"/>
        <w:textAlignment w:val="baseline"/>
        <w:rPr>
          <w:rFonts w:asciiTheme="minorHAnsi" w:hAnsiTheme="minorHAnsi" w:cstheme="minorHAnsi"/>
          <w:sz w:val="22"/>
          <w:szCs w:val="22"/>
          <w:lang w:val="tr-TR"/>
        </w:rPr>
      </w:pPr>
    </w:p>
    <w:p w14:paraId="7EFD8FAB" w14:textId="7D6986FA" w:rsidR="006105DF" w:rsidRPr="008238A5" w:rsidRDefault="00D96912" w:rsidP="006105DF">
      <w:pPr>
        <w:pStyle w:val="paragraph"/>
        <w:spacing w:before="0" w:beforeAutospacing="0" w:after="0" w:afterAutospacing="0"/>
        <w:jc w:val="center"/>
        <w:textAlignment w:val="baseline"/>
        <w:rPr>
          <w:rFonts w:asciiTheme="minorHAnsi" w:hAnsiTheme="minorHAnsi" w:cstheme="minorHAnsi"/>
          <w:sz w:val="36"/>
          <w:szCs w:val="36"/>
          <w:rtl/>
        </w:rPr>
      </w:pPr>
      <w:r w:rsidRPr="00225388">
        <w:rPr>
          <w:rStyle w:val="normaltextrun"/>
          <w:rFonts w:asciiTheme="minorHAnsi" w:hAnsiTheme="minorHAnsi" w:cstheme="minorHAnsi"/>
          <w:color w:val="808080" w:themeColor="background1" w:themeShade="80"/>
          <w:sz w:val="36"/>
          <w:szCs w:val="36"/>
          <w:lang w:val="tr-TR"/>
        </w:rPr>
        <w:t>ŞARTNAME</w:t>
      </w:r>
    </w:p>
    <w:p w14:paraId="607D7EDE" w14:textId="77777777" w:rsidR="006105DF" w:rsidRPr="008238A5" w:rsidRDefault="006105DF" w:rsidP="006105DF">
      <w:pPr>
        <w:pStyle w:val="paragraph"/>
        <w:spacing w:before="0" w:beforeAutospacing="0" w:after="0" w:afterAutospacing="0"/>
        <w:jc w:val="center"/>
        <w:textAlignment w:val="baseline"/>
        <w:rPr>
          <w:rFonts w:asciiTheme="minorHAnsi" w:hAnsiTheme="minorHAnsi" w:cstheme="minorHAnsi"/>
          <w:b/>
          <w:bCs/>
          <w:sz w:val="36"/>
          <w:szCs w:val="36"/>
        </w:rPr>
      </w:pPr>
      <w:r w:rsidRPr="008238A5">
        <w:rPr>
          <w:rFonts w:asciiTheme="minorHAnsi" w:hAnsiTheme="minorHAnsi" w:cstheme="minorHAnsi"/>
          <w:b/>
          <w:bCs/>
          <w:sz w:val="36"/>
          <w:szCs w:val="36"/>
        </w:rPr>
        <w:t>İşletme Yönetimi Eğitimi</w:t>
      </w:r>
    </w:p>
    <w:p w14:paraId="4978EC48" w14:textId="77777777" w:rsidR="006105DF" w:rsidRPr="008238A5" w:rsidRDefault="006105DF" w:rsidP="006105DF">
      <w:pPr>
        <w:pStyle w:val="paragraph"/>
        <w:spacing w:before="0" w:beforeAutospacing="0" w:after="0" w:afterAutospacing="0"/>
        <w:jc w:val="both"/>
        <w:textAlignment w:val="baseline"/>
        <w:rPr>
          <w:rFonts w:asciiTheme="minorHAnsi" w:hAnsiTheme="minorHAnsi" w:cstheme="minorHAnsi"/>
          <w:sz w:val="22"/>
          <w:szCs w:val="22"/>
        </w:rPr>
      </w:pPr>
      <w:r w:rsidRPr="008238A5">
        <w:rPr>
          <w:rStyle w:val="eop"/>
          <w:rFonts w:asciiTheme="minorHAnsi" w:hAnsiTheme="minorHAnsi" w:cstheme="minorHAnsi"/>
          <w:sz w:val="22"/>
          <w:szCs w:val="22"/>
        </w:rPr>
        <w:t> </w:t>
      </w:r>
    </w:p>
    <w:p w14:paraId="3F0D53A2" w14:textId="77777777" w:rsidR="006105DF" w:rsidRPr="008238A5" w:rsidRDefault="006105DF" w:rsidP="006105DF">
      <w:pPr>
        <w:jc w:val="both"/>
        <w:rPr>
          <w:rFonts w:cstheme="minorHAnsi"/>
          <w:sz w:val="22"/>
          <w:szCs w:val="22"/>
        </w:rPr>
      </w:pPr>
      <w:r w:rsidRPr="008238A5">
        <w:rPr>
          <w:rFonts w:cstheme="minorHAnsi"/>
          <w:sz w:val="22"/>
          <w:szCs w:val="22"/>
        </w:rPr>
        <w:t xml:space="preserve">Konutla İlgili İşletme Sahipleri İçin İşletme Yönetimi </w:t>
      </w:r>
      <w:r w:rsidRPr="00016F79">
        <w:rPr>
          <w:rFonts w:cstheme="minorHAnsi"/>
          <w:sz w:val="22"/>
          <w:szCs w:val="22"/>
        </w:rPr>
        <w:t>Eğitimi – Haziran 2025</w:t>
      </w:r>
    </w:p>
    <w:p w14:paraId="7D4E40A5" w14:textId="77777777" w:rsidR="006105DF" w:rsidRPr="008238A5" w:rsidRDefault="006105DF" w:rsidP="006105DF">
      <w:pPr>
        <w:jc w:val="both"/>
        <w:rPr>
          <w:rFonts w:cstheme="minorHAnsi"/>
          <w:b/>
          <w:bCs/>
          <w:sz w:val="22"/>
          <w:szCs w:val="22"/>
        </w:rPr>
      </w:pPr>
      <w:r w:rsidRPr="008238A5">
        <w:rPr>
          <w:rFonts w:cstheme="minorHAnsi"/>
          <w:b/>
          <w:bCs/>
          <w:sz w:val="22"/>
          <w:szCs w:val="22"/>
        </w:rPr>
        <w:t>1. Giriş</w:t>
      </w:r>
    </w:p>
    <w:p w14:paraId="3E12EF21" w14:textId="546C2F5D" w:rsidR="006105DF" w:rsidRPr="008238A5" w:rsidRDefault="006105DF" w:rsidP="006105DF">
      <w:pPr>
        <w:spacing w:before="240" w:after="240"/>
        <w:jc w:val="both"/>
        <w:rPr>
          <w:rFonts w:eastAsia="Calibri" w:cstheme="minorHAnsi"/>
          <w:sz w:val="22"/>
          <w:szCs w:val="22"/>
        </w:rPr>
      </w:pPr>
      <w:r w:rsidRPr="008238A5">
        <w:rPr>
          <w:rFonts w:cstheme="minorHAnsi"/>
          <w:b/>
          <w:bCs/>
          <w:sz w:val="22"/>
          <w:szCs w:val="22"/>
        </w:rPr>
        <w:t>S</w:t>
      </w:r>
      <w:r w:rsidRPr="008238A5">
        <w:rPr>
          <w:rFonts w:eastAsia="Calibri" w:cstheme="minorHAnsi"/>
          <w:b/>
          <w:bCs/>
          <w:color w:val="000000" w:themeColor="text1"/>
          <w:sz w:val="22"/>
          <w:szCs w:val="22"/>
        </w:rPr>
        <w:t xml:space="preserve">ARD, </w:t>
      </w:r>
      <w:r w:rsidRPr="008238A5">
        <w:rPr>
          <w:rFonts w:eastAsia="Calibri" w:cstheme="minorHAnsi"/>
          <w:color w:val="000000" w:themeColor="text1"/>
          <w:sz w:val="22"/>
          <w:szCs w:val="22"/>
        </w:rPr>
        <w:t>çatışma ve doğal afetlerden etkilenen bireyler ve topluluklar arasında dayanıklılık oluşturmayı ve öz güveni teşvik etmeyi amaçlayan bir sivil toplum kuruluşudur. İnsani yardımın yerelleştirilmesini savunuyoruz ve etkilenen nüfusların gelişmesini sağlayan kritik kaynaklar ve yenilikçi fırsatlar sağlamaya çalışıyoruz. ARD, Gıda Güvenliği, Gıda Dışı Ürünler, Barınak, WASH, Koruma, Erken Kurtarma ve Geçim Kaynakları sektörlerinde faaliyet göstermektedir. 2023 yılında, yıkıcı depremlerin ardından ARD, Türkiye'deki müdahale çabalarını da kapsayacak şekilde coğrafi kapsamını genişletti .</w:t>
      </w:r>
    </w:p>
    <w:p w14:paraId="776CA21F" w14:textId="77777777" w:rsidR="006105DF" w:rsidRPr="008238A5" w:rsidRDefault="006105DF" w:rsidP="006105DF">
      <w:pPr>
        <w:spacing w:before="240" w:after="240"/>
        <w:jc w:val="both"/>
        <w:rPr>
          <w:rFonts w:cstheme="minorHAnsi"/>
          <w:sz w:val="22"/>
          <w:szCs w:val="22"/>
        </w:rPr>
      </w:pPr>
      <w:r w:rsidRPr="008238A5">
        <w:rPr>
          <w:rFonts w:eastAsia="Calibri" w:cstheme="minorHAnsi"/>
          <w:b/>
          <w:bCs/>
          <w:color w:val="000000" w:themeColor="text1"/>
          <w:sz w:val="22"/>
          <w:szCs w:val="22"/>
        </w:rPr>
        <w:t xml:space="preserve">İHH (İnsani Yardım Vakfı) </w:t>
      </w:r>
      <w:r w:rsidRPr="008238A5">
        <w:rPr>
          <w:rFonts w:eastAsia="Calibri" w:cstheme="minorHAnsi"/>
          <w:color w:val="000000" w:themeColor="text1"/>
          <w:sz w:val="22"/>
          <w:szCs w:val="22"/>
        </w:rPr>
        <w:t>, beş kıtada 123 ülkede aktif faaliyet gösteren bir Türk sivil toplum kuruluşudur. İHH, Barınma, Acil Yardım, Geçim Kaynağı Desteği, Eğitim ve Sağlık dahil olmak üzere çeşitli sektörlerde çalışmaktadır. Kuruluş, okullar, kültür merkezleri, sağlık tesisleri ve hastaneler gibi temel altyapıların inşası ve onarımında aktif olarak yer almaktadır. İHH ayrıca mesleki eğitime ve yerel ekonomileri desteklemek ve etkilenen topluluklarda beceriler oluşturmak için araç ve ekipman sağlanmasına büyük önem vermektedir. 2023 depremlerinin ardından İHH, özellikle Hatay'da acil müdahalede önemli bir rol oynamış, hızlı barınma çözümleri ve hayat kurtarıcı yardımlar sunmak için kapsamlı yerel ağlarını ve uzmanlığını kullanmıştır.</w:t>
      </w:r>
    </w:p>
    <w:p w14:paraId="1D947700" w14:textId="77777777" w:rsidR="006105DF" w:rsidRPr="008238A5" w:rsidRDefault="006105DF" w:rsidP="006105DF">
      <w:pPr>
        <w:spacing w:before="240" w:after="240"/>
        <w:jc w:val="both"/>
        <w:rPr>
          <w:rFonts w:eastAsia="Calibri" w:cstheme="minorHAnsi"/>
          <w:sz w:val="22"/>
          <w:szCs w:val="22"/>
        </w:rPr>
      </w:pPr>
      <w:r w:rsidRPr="008238A5">
        <w:rPr>
          <w:rFonts w:eastAsia="Calibri" w:cstheme="minorHAnsi"/>
          <w:color w:val="000000" w:themeColor="text1"/>
          <w:sz w:val="22"/>
          <w:szCs w:val="22"/>
        </w:rPr>
        <w:t xml:space="preserve">Bu Referans Şartları ( ToR ), Adıyaman ve Hatay'daki depremden etkilenen toplulukların sürdürülebilir iyileşmesini desteklemeyi amaçlayan 12 aylık çok sektörlü bir müdahalenin parçasıdır . </w:t>
      </w:r>
      <w:r w:rsidRPr="008238A5">
        <w:rPr>
          <w:rFonts w:eastAsia="Calibri" w:cstheme="minorHAnsi"/>
          <w:b/>
          <w:bCs/>
          <w:color w:val="000000" w:themeColor="text1"/>
          <w:sz w:val="22"/>
          <w:szCs w:val="22"/>
        </w:rPr>
        <w:t xml:space="preserve">SARD </w:t>
      </w:r>
      <w:r w:rsidRPr="008238A5">
        <w:rPr>
          <w:rFonts w:eastAsia="Calibri" w:cstheme="minorHAnsi"/>
          <w:color w:val="000000" w:themeColor="text1"/>
          <w:sz w:val="22"/>
          <w:szCs w:val="22"/>
        </w:rPr>
        <w:t xml:space="preserve">ve </w:t>
      </w:r>
      <w:r w:rsidRPr="008238A5">
        <w:rPr>
          <w:rFonts w:eastAsia="Calibri" w:cstheme="minorHAnsi"/>
          <w:b/>
          <w:bCs/>
          <w:color w:val="000000" w:themeColor="text1"/>
          <w:sz w:val="22"/>
          <w:szCs w:val="22"/>
        </w:rPr>
        <w:t xml:space="preserve">IHH tarafından Habitat for Humanity International'ın </w:t>
      </w:r>
      <w:r w:rsidRPr="008238A5">
        <w:rPr>
          <w:rFonts w:eastAsia="Calibri" w:cstheme="minorHAnsi"/>
          <w:color w:val="000000" w:themeColor="text1"/>
          <w:sz w:val="22"/>
          <w:szCs w:val="22"/>
        </w:rPr>
        <w:t xml:space="preserve">fonlamasıyla uygulanan girişim, bütünleşik, topluluk merkezli bir iyileşme yaklaşımını teşvik eder. Temel bileşenler arasında barınak rehabilitasyonu, toplumsal altyapının restorasyonu ve geçim kaynaklarının iyileştirilmesi yer almaktadır. </w:t>
      </w:r>
      <w:r w:rsidRPr="008238A5">
        <w:rPr>
          <w:rFonts w:eastAsia="Calibri" w:cstheme="minorHAnsi"/>
          <w:b/>
          <w:bCs/>
          <w:color w:val="000000" w:themeColor="text1"/>
          <w:sz w:val="22"/>
          <w:szCs w:val="22"/>
        </w:rPr>
        <w:t xml:space="preserve">Gelir Getiren Faaliyetler (IGA) </w:t>
      </w:r>
      <w:r w:rsidRPr="008238A5">
        <w:rPr>
          <w:rFonts w:eastAsia="Calibri" w:cstheme="minorHAnsi"/>
          <w:color w:val="000000" w:themeColor="text1"/>
          <w:sz w:val="22"/>
          <w:szCs w:val="22"/>
        </w:rPr>
        <w:t xml:space="preserve">bileşeni, özellikle </w:t>
      </w:r>
      <w:r w:rsidRPr="008238A5">
        <w:rPr>
          <w:rFonts w:eastAsia="Calibri" w:cstheme="minorHAnsi"/>
          <w:b/>
          <w:bCs/>
          <w:color w:val="000000" w:themeColor="text1"/>
          <w:sz w:val="22"/>
          <w:szCs w:val="22"/>
        </w:rPr>
        <w:t xml:space="preserve">işletme yönetimi eğitimi </w:t>
      </w:r>
      <w:r w:rsidRPr="008238A5">
        <w:rPr>
          <w:rFonts w:eastAsia="Calibri" w:cstheme="minorHAnsi"/>
          <w:color w:val="000000" w:themeColor="text1"/>
          <w:sz w:val="22"/>
          <w:szCs w:val="22"/>
        </w:rPr>
        <w:t>, geçim kaynağı destek stratejisinin temel taşıdır ve bu ToR'un temel odağını oluşturur .</w:t>
      </w:r>
    </w:p>
    <w:p w14:paraId="63A5F8AA" w14:textId="77777777" w:rsidR="006105DF" w:rsidRPr="008238A5" w:rsidRDefault="006105DF" w:rsidP="006105DF">
      <w:pPr>
        <w:jc w:val="both"/>
        <w:rPr>
          <w:rFonts w:cstheme="minorHAnsi"/>
          <w:sz w:val="22"/>
          <w:szCs w:val="22"/>
        </w:rPr>
      </w:pPr>
    </w:p>
    <w:p w14:paraId="71417E67" w14:textId="77777777" w:rsidR="006105DF" w:rsidRPr="008238A5" w:rsidRDefault="006105DF" w:rsidP="006105DF">
      <w:pPr>
        <w:jc w:val="both"/>
        <w:rPr>
          <w:rFonts w:cstheme="minorHAnsi"/>
          <w:b/>
          <w:bCs/>
          <w:sz w:val="22"/>
          <w:szCs w:val="22"/>
        </w:rPr>
      </w:pPr>
      <w:r w:rsidRPr="008238A5">
        <w:rPr>
          <w:rFonts w:cstheme="minorHAnsi"/>
          <w:b/>
          <w:bCs/>
          <w:sz w:val="22"/>
          <w:szCs w:val="22"/>
        </w:rPr>
        <w:t>2. Amaç ve Hedefler</w:t>
      </w:r>
    </w:p>
    <w:p w14:paraId="789B1DCA" w14:textId="77777777" w:rsidR="006105DF" w:rsidRPr="008238A5" w:rsidRDefault="006105DF" w:rsidP="006105DF">
      <w:pPr>
        <w:jc w:val="both"/>
        <w:rPr>
          <w:rFonts w:cstheme="minorHAnsi"/>
          <w:b/>
          <w:bCs/>
          <w:sz w:val="22"/>
          <w:szCs w:val="22"/>
        </w:rPr>
      </w:pPr>
      <w:r w:rsidRPr="008238A5">
        <w:rPr>
          <w:rFonts w:cstheme="minorHAnsi"/>
          <w:sz w:val="22"/>
          <w:szCs w:val="22"/>
        </w:rPr>
        <w:t>SARD ve IHH, kriz sonrası işletmelerin nasıl yönetileceği ve kurtarılacağı konusunda işletme yönetimi eğitimi sağlamak üzere tek hizmet sağlayıcısı görevlendirmeyi amaçlamaktadır. Eğitim, konutla ilgili sektörlerde (örneğin inşaat, marangozluk, tesisat, elektrik işleri vb.) çalışan küçük işletme sahibi 110 yararlanıcıya sağlanacaktır. Proje şunları sunmayı amaçlamaktadır:</w:t>
      </w:r>
      <w:r w:rsidRPr="008238A5">
        <w:rPr>
          <w:rFonts w:eastAsia="Calibri" w:cstheme="minorHAnsi"/>
          <w:color w:val="000000" w:themeColor="text1"/>
          <w:sz w:val="22"/>
          <w:szCs w:val="22"/>
        </w:rPr>
        <w:t xml:space="preserve"> </w:t>
      </w:r>
      <w:r w:rsidRPr="008238A5">
        <w:rPr>
          <w:rFonts w:eastAsiaTheme="minorEastAsia" w:cstheme="minorHAnsi"/>
          <w:sz w:val="22"/>
          <w:szCs w:val="22"/>
        </w:rPr>
        <w:t>Finansal okuryazarlığı artırmak, iş planlamasını geliştirmek ve etkili yönetim becerileri geliştirmek için tasarlanmış kapsamlı işletme yönetimi eğitim programları. Bu eğitim, işletme sahiplerinin felaket sonrası ekonomik manzarada gezinmelerine, finanslarını daha iyi yönetmelerine yardımcı olacaktır.</w:t>
      </w:r>
    </w:p>
    <w:p w14:paraId="71D2CFA2" w14:textId="5561D714" w:rsidR="006105DF" w:rsidRDefault="006105DF" w:rsidP="006105DF">
      <w:pPr>
        <w:jc w:val="both"/>
        <w:rPr>
          <w:rFonts w:eastAsia="Calibri" w:cstheme="minorHAnsi"/>
          <w:sz w:val="22"/>
          <w:szCs w:val="22"/>
        </w:rPr>
      </w:pPr>
      <w:r w:rsidRPr="008238A5">
        <w:rPr>
          <w:rFonts w:eastAsia="Calibri" w:cstheme="minorHAnsi"/>
          <w:sz w:val="22"/>
          <w:szCs w:val="22"/>
        </w:rPr>
        <w:t>Hedef grup, proje kriterlerine göre halihazırda seçilmiş bireylerden oluşsa da, eğitim tasarımı kapsayıcı katılımı sağlayacaktır. Seçilen yararlanıcılar arasında kadın liderliğindeki işletmeler, engelli kişiler ve diğer yeterince temsil edilmeyen grupları dahil etmek için içerik ve sunum yöntemlerinin uyarlanmasına güçlü bir vurgu yapılacak ve çeşitli katılımcılar arasında eşit öğrenme sonuçları teşvik edilecektir.</w:t>
      </w:r>
    </w:p>
    <w:p w14:paraId="2585015E" w14:textId="77777777" w:rsidR="00D96912" w:rsidRPr="008238A5" w:rsidRDefault="00D96912" w:rsidP="006105DF">
      <w:pPr>
        <w:jc w:val="both"/>
        <w:rPr>
          <w:rFonts w:eastAsia="Calibri" w:cstheme="minorHAnsi"/>
          <w:sz w:val="22"/>
          <w:szCs w:val="22"/>
        </w:rPr>
      </w:pPr>
    </w:p>
    <w:p w14:paraId="3F74606E" w14:textId="77777777" w:rsidR="006105DF" w:rsidRPr="008238A5" w:rsidRDefault="006105DF" w:rsidP="006105DF">
      <w:pPr>
        <w:jc w:val="both"/>
        <w:rPr>
          <w:rFonts w:cstheme="minorHAnsi"/>
          <w:b/>
          <w:bCs/>
          <w:sz w:val="22"/>
          <w:szCs w:val="22"/>
        </w:rPr>
      </w:pPr>
      <w:r w:rsidRPr="008238A5">
        <w:rPr>
          <w:rFonts w:cstheme="minorHAnsi"/>
          <w:b/>
          <w:bCs/>
          <w:sz w:val="22"/>
          <w:szCs w:val="22"/>
        </w:rPr>
        <w:t>Konum:</w:t>
      </w:r>
    </w:p>
    <w:p w14:paraId="6EA4290F" w14:textId="77777777" w:rsidR="006105DF" w:rsidRPr="008238A5" w:rsidRDefault="006105DF" w:rsidP="006105DF">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 xml:space="preserve">- Adıyaman </w:t>
      </w:r>
      <w:r w:rsidRPr="008238A5">
        <w:rPr>
          <w:rFonts w:cstheme="minorHAnsi"/>
          <w:sz w:val="22"/>
          <w:szCs w:val="22"/>
        </w:rPr>
        <w:t>: 60 yararlanıcı</w:t>
      </w:r>
    </w:p>
    <w:p w14:paraId="2AC82122" w14:textId="77777777" w:rsidR="006105DF" w:rsidRPr="008238A5" w:rsidRDefault="006105DF" w:rsidP="006105DF">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 xml:space="preserve">Hatay </w:t>
      </w:r>
      <w:r w:rsidRPr="008238A5">
        <w:rPr>
          <w:rFonts w:cstheme="minorHAnsi"/>
          <w:sz w:val="22"/>
          <w:szCs w:val="22"/>
        </w:rPr>
        <w:t>: 50 yararlanıcı</w:t>
      </w:r>
    </w:p>
    <w:p w14:paraId="5AABD26B" w14:textId="77777777" w:rsidR="006105DF" w:rsidRPr="008238A5" w:rsidRDefault="006105DF" w:rsidP="006105DF">
      <w:pPr>
        <w:jc w:val="both"/>
        <w:rPr>
          <w:rFonts w:cstheme="minorHAnsi"/>
          <w:sz w:val="22"/>
          <w:szCs w:val="22"/>
        </w:rPr>
      </w:pPr>
    </w:p>
    <w:p w14:paraId="6F0A7A6A" w14:textId="77777777" w:rsidR="00F229F1" w:rsidRDefault="00F229F1" w:rsidP="006105DF">
      <w:pPr>
        <w:jc w:val="both"/>
        <w:rPr>
          <w:rFonts w:cstheme="minorHAnsi"/>
          <w:sz w:val="22"/>
          <w:szCs w:val="22"/>
        </w:rPr>
      </w:pPr>
    </w:p>
    <w:p w14:paraId="2FB1B98A" w14:textId="77777777" w:rsidR="00F229F1" w:rsidRDefault="00F229F1" w:rsidP="006105DF">
      <w:pPr>
        <w:jc w:val="both"/>
        <w:rPr>
          <w:rFonts w:cstheme="minorHAnsi"/>
          <w:sz w:val="22"/>
          <w:szCs w:val="22"/>
        </w:rPr>
      </w:pPr>
    </w:p>
    <w:p w14:paraId="0CB42E23" w14:textId="00073610" w:rsidR="006105DF" w:rsidRPr="008238A5" w:rsidRDefault="006105DF" w:rsidP="006105DF">
      <w:pPr>
        <w:jc w:val="both"/>
        <w:rPr>
          <w:rFonts w:cstheme="minorHAnsi"/>
          <w:sz w:val="22"/>
          <w:szCs w:val="22"/>
        </w:rPr>
      </w:pPr>
      <w:r w:rsidRPr="008238A5">
        <w:rPr>
          <w:rFonts w:cstheme="minorHAnsi"/>
          <w:sz w:val="22"/>
          <w:szCs w:val="22"/>
        </w:rPr>
        <w:t>Seçilen şirket, her iki şehirde de eğitimin organizasyonu ve verilmesinden sorumludur.</w:t>
      </w:r>
    </w:p>
    <w:p w14:paraId="775AB154" w14:textId="77777777" w:rsidR="006105DF" w:rsidRPr="008238A5" w:rsidRDefault="006105DF" w:rsidP="006105DF">
      <w:pPr>
        <w:jc w:val="both"/>
        <w:rPr>
          <w:rFonts w:cstheme="minorHAnsi"/>
          <w:sz w:val="22"/>
          <w:szCs w:val="22"/>
        </w:rPr>
      </w:pPr>
      <w:r w:rsidRPr="008238A5">
        <w:rPr>
          <w:rFonts w:cstheme="minorHAnsi"/>
          <w:sz w:val="22"/>
          <w:szCs w:val="22"/>
        </w:rPr>
        <w:t>Eğitim toplamda 110 yararlanıcıyı hedef alacak — Adıyaman'da 60 ve Hatay'da 50. Her şehirde katılımcılar iki gruba ayrılacak ve her grup yaklaşık 25 ila 30 katılımcıdan oluşacak. Her şehir için eğitim iki yöntemden birinde düzenlenebilir:</w:t>
      </w:r>
    </w:p>
    <w:p w14:paraId="6D51E1B1" w14:textId="77777777" w:rsidR="006105DF" w:rsidRPr="008238A5" w:rsidRDefault="006105DF" w:rsidP="006105DF">
      <w:pPr>
        <w:jc w:val="both"/>
        <w:rPr>
          <w:rFonts w:cstheme="minorHAnsi"/>
          <w:b/>
          <w:bCs/>
          <w:sz w:val="22"/>
          <w:szCs w:val="22"/>
        </w:rPr>
      </w:pPr>
    </w:p>
    <w:p w14:paraId="794C3F01" w14:textId="77777777" w:rsidR="006105DF" w:rsidRPr="008238A5" w:rsidRDefault="006105DF" w:rsidP="006105DF">
      <w:pPr>
        <w:jc w:val="both"/>
        <w:rPr>
          <w:rFonts w:cstheme="minorHAnsi"/>
          <w:sz w:val="22"/>
          <w:szCs w:val="22"/>
        </w:rPr>
      </w:pPr>
      <w:r w:rsidRPr="008238A5">
        <w:rPr>
          <w:rFonts w:cstheme="minorHAnsi"/>
          <w:b/>
          <w:bCs/>
          <w:sz w:val="22"/>
          <w:szCs w:val="22"/>
        </w:rPr>
        <w:t xml:space="preserve">Seçenek 1 </w:t>
      </w:r>
      <w:r w:rsidRPr="008238A5">
        <w:rPr>
          <w:rFonts w:cstheme="minorHAnsi"/>
          <w:sz w:val="22"/>
          <w:szCs w:val="22"/>
        </w:rPr>
        <w:t>: Her iki grup da aynı hafta içinde katılır; bir grup sabah, diğeri öğleden sonra.</w:t>
      </w:r>
    </w:p>
    <w:p w14:paraId="7D1A055E" w14:textId="77777777" w:rsidR="006105DF" w:rsidRPr="008238A5" w:rsidRDefault="006105DF" w:rsidP="006105DF">
      <w:pPr>
        <w:jc w:val="both"/>
        <w:rPr>
          <w:rFonts w:cstheme="minorHAnsi"/>
          <w:b/>
          <w:bCs/>
          <w:sz w:val="22"/>
          <w:szCs w:val="22"/>
        </w:rPr>
      </w:pPr>
    </w:p>
    <w:p w14:paraId="2120D2CB" w14:textId="6D50DC38" w:rsidR="006105DF" w:rsidRDefault="006105DF" w:rsidP="006105DF">
      <w:pPr>
        <w:jc w:val="both"/>
        <w:rPr>
          <w:rFonts w:cstheme="minorHAnsi"/>
          <w:sz w:val="22"/>
          <w:szCs w:val="22"/>
        </w:rPr>
      </w:pPr>
      <w:r w:rsidRPr="008238A5">
        <w:rPr>
          <w:rFonts w:cstheme="minorHAnsi"/>
          <w:b/>
          <w:bCs/>
          <w:sz w:val="22"/>
          <w:szCs w:val="22"/>
        </w:rPr>
        <w:t xml:space="preserve">Seçenek 2 </w:t>
      </w:r>
      <w:r w:rsidRPr="008238A5">
        <w:rPr>
          <w:rFonts w:cstheme="minorHAnsi"/>
          <w:sz w:val="22"/>
          <w:szCs w:val="22"/>
        </w:rPr>
        <w:t>: Her grup iki haftadan uzun bir süre ayrı ayrı katılır, bir grup ilk hafta, ikinci grup ise takip eden hafta eğitimini tamamlar.</w:t>
      </w:r>
    </w:p>
    <w:p w14:paraId="521D4AB3" w14:textId="77777777" w:rsidR="00D96912" w:rsidRPr="008238A5" w:rsidRDefault="00D96912" w:rsidP="006105DF">
      <w:pPr>
        <w:jc w:val="both"/>
        <w:rPr>
          <w:rFonts w:cstheme="minorHAnsi"/>
          <w:sz w:val="22"/>
          <w:szCs w:val="22"/>
        </w:rPr>
      </w:pPr>
    </w:p>
    <w:p w14:paraId="034371D8" w14:textId="77777777" w:rsidR="006105DF" w:rsidRPr="008238A5" w:rsidRDefault="006105DF" w:rsidP="006105DF">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 xml:space="preserve">Program </w:t>
      </w:r>
      <w:r w:rsidRPr="008238A5">
        <w:rPr>
          <w:rFonts w:cstheme="minorHAnsi"/>
          <w:sz w:val="22"/>
          <w:szCs w:val="22"/>
        </w:rPr>
        <w:t>: Eğitim, her grubun eğitim alacağı şekilde Haziran 2025'te gerçekleşecektir.</w:t>
      </w:r>
    </w:p>
    <w:p w14:paraId="4D731282" w14:textId="77777777" w:rsidR="006105DF" w:rsidRPr="008238A5" w:rsidRDefault="006105DF" w:rsidP="006105DF">
      <w:pPr>
        <w:jc w:val="both"/>
        <w:rPr>
          <w:rFonts w:cstheme="minorHAnsi"/>
          <w:sz w:val="22"/>
          <w:szCs w:val="22"/>
        </w:rPr>
      </w:pPr>
    </w:p>
    <w:p w14:paraId="5299D10E" w14:textId="77777777" w:rsidR="006105DF" w:rsidRPr="008238A5" w:rsidRDefault="006105DF" w:rsidP="006105DF">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 xml:space="preserve">Eğitim dili </w:t>
      </w:r>
      <w:r w:rsidRPr="008238A5">
        <w:rPr>
          <w:rFonts w:cstheme="minorHAnsi"/>
          <w:sz w:val="22"/>
          <w:szCs w:val="22"/>
        </w:rPr>
        <w:t>: Türkçe</w:t>
      </w:r>
    </w:p>
    <w:p w14:paraId="71F5F008" w14:textId="77777777" w:rsidR="006105DF" w:rsidRPr="008238A5" w:rsidRDefault="006105DF" w:rsidP="006105DF">
      <w:pPr>
        <w:jc w:val="both"/>
        <w:rPr>
          <w:rFonts w:cstheme="minorHAnsi"/>
          <w:sz w:val="22"/>
          <w:szCs w:val="22"/>
        </w:rPr>
      </w:pPr>
    </w:p>
    <w:p w14:paraId="03065CF8" w14:textId="77777777" w:rsidR="006105DF" w:rsidRPr="008238A5" w:rsidRDefault="006105DF" w:rsidP="006105DF">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 xml:space="preserve">Eğitim süresi </w:t>
      </w:r>
      <w:r w:rsidRPr="008238A5">
        <w:rPr>
          <w:rFonts w:cstheme="minorHAnsi"/>
          <w:sz w:val="22"/>
          <w:szCs w:val="22"/>
        </w:rPr>
        <w:t>: Her grup 5 gün (20 saat) eğitim alacaktır.</w:t>
      </w:r>
    </w:p>
    <w:p w14:paraId="26294586" w14:textId="77777777" w:rsidR="006105DF" w:rsidRPr="008238A5" w:rsidRDefault="006105DF" w:rsidP="006105DF">
      <w:pPr>
        <w:jc w:val="both"/>
        <w:rPr>
          <w:rFonts w:cstheme="minorHAnsi"/>
          <w:sz w:val="22"/>
          <w:szCs w:val="22"/>
        </w:rPr>
      </w:pPr>
    </w:p>
    <w:p w14:paraId="185CFEB3" w14:textId="77777777" w:rsidR="006105DF" w:rsidRPr="008238A5" w:rsidRDefault="006105DF" w:rsidP="006105DF">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 xml:space="preserve">İşletme Yönetimi Müfredatına Uygun Eğitim Modülleri : </w:t>
      </w:r>
      <w:r w:rsidRPr="008238A5">
        <w:rPr>
          <w:rFonts w:cstheme="minorHAnsi"/>
          <w:sz w:val="22"/>
          <w:szCs w:val="22"/>
        </w:rPr>
        <w:t>Adıyaman ve Hatay arasında bölünmüş 4 gruba yönelik beş günlük eğitim , aşağıdakileri kapsamaktadır:</w:t>
      </w:r>
    </w:p>
    <w:p w14:paraId="42A3DB6A" w14:textId="77777777" w:rsidR="006105DF" w:rsidRPr="008238A5" w:rsidRDefault="006105DF" w:rsidP="006105DF">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 xml:space="preserve">Finansal Yönetim ve Planlama </w:t>
      </w:r>
      <w:r w:rsidRPr="008238A5">
        <w:rPr>
          <w:rFonts w:cstheme="minorHAnsi"/>
          <w:sz w:val="22"/>
          <w:szCs w:val="22"/>
        </w:rPr>
        <w:t>: Katılımcılar finansal tabloları, bütçeleme tekniklerini ve etkili finansal planlama stratejilerini anlama konusunda içgörüler kazanacaklar. Bu modül, katılımcılara sürdürülebilir iş uygulamalarını garanti altına alarak finansları verimli bir şekilde yönetmek için gereken becerileri kazandırmayı amaçlamaktadır.</w:t>
      </w:r>
    </w:p>
    <w:p w14:paraId="232548CD" w14:textId="77777777" w:rsidR="006105DF" w:rsidRPr="008238A5" w:rsidRDefault="006105DF" w:rsidP="006105DF">
      <w:pPr>
        <w:jc w:val="both"/>
        <w:rPr>
          <w:rFonts w:cstheme="minorHAnsi"/>
          <w:sz w:val="22"/>
          <w:szCs w:val="22"/>
        </w:rPr>
      </w:pPr>
    </w:p>
    <w:p w14:paraId="6866AB66" w14:textId="77777777" w:rsidR="006105DF" w:rsidRPr="008238A5" w:rsidRDefault="006105DF" w:rsidP="006105DF">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 xml:space="preserve">Muhasebe </w:t>
      </w:r>
      <w:r w:rsidRPr="008238A5">
        <w:rPr>
          <w:rFonts w:cstheme="minorHAnsi"/>
          <w:sz w:val="22"/>
          <w:szCs w:val="22"/>
        </w:rPr>
        <w:t>: Bu modül, defter tutma ve finansal raporlama dahil olmak üzere temel muhasebe prensiplerini kapsar. Katılımcılar, bilinçli karar alma ve finansal düzenlemelere uyum için gerekli olan doğru finansal kayıtların nasıl tutulacağını öğrenecekler.</w:t>
      </w:r>
    </w:p>
    <w:p w14:paraId="45CA5A78" w14:textId="77777777" w:rsidR="006105DF" w:rsidRPr="008238A5" w:rsidRDefault="006105DF" w:rsidP="006105DF">
      <w:pPr>
        <w:jc w:val="both"/>
        <w:rPr>
          <w:rFonts w:cstheme="minorHAnsi"/>
          <w:sz w:val="22"/>
          <w:szCs w:val="22"/>
        </w:rPr>
      </w:pPr>
    </w:p>
    <w:p w14:paraId="7EFD9571" w14:textId="77777777" w:rsidR="006105DF" w:rsidRPr="008238A5" w:rsidRDefault="006105DF" w:rsidP="006105DF">
      <w:pPr>
        <w:jc w:val="both"/>
        <w:rPr>
          <w:rFonts w:cstheme="minorHAnsi"/>
          <w:sz w:val="22"/>
          <w:szCs w:val="22"/>
        </w:rPr>
      </w:pPr>
      <w:r w:rsidRPr="008238A5">
        <w:rPr>
          <w:rFonts w:cstheme="minorHAnsi"/>
          <w:sz w:val="22"/>
          <w:szCs w:val="22"/>
        </w:rPr>
        <w:t xml:space="preserve">- İşletme </w:t>
      </w:r>
      <w:r w:rsidRPr="008238A5">
        <w:rPr>
          <w:rFonts w:cstheme="minorHAnsi"/>
          <w:b/>
          <w:bCs/>
          <w:sz w:val="22"/>
          <w:szCs w:val="22"/>
        </w:rPr>
        <w:t xml:space="preserve">Afet Kurtarma Stratejileri </w:t>
      </w:r>
      <w:r w:rsidRPr="008238A5">
        <w:rPr>
          <w:rFonts w:cstheme="minorHAnsi"/>
          <w:sz w:val="22"/>
          <w:szCs w:val="22"/>
        </w:rPr>
        <w:t>: İş sürekliliği ve afet risk azaltma stratejilerine odaklanan bu modül, katılımcılara deprem gibi doğal afetlerin yarattığı işletmelerini yönetme zorluklarını aşmaları için araçlar sağlar. İşletmeleri gelecekteki kesintilere karşı korumak için proaktif planlama ve dayanıklılık oluşturma önlemlerini vurgular.</w:t>
      </w:r>
    </w:p>
    <w:p w14:paraId="615B06CF" w14:textId="77777777" w:rsidR="006105DF" w:rsidRPr="008238A5" w:rsidRDefault="006105DF" w:rsidP="006105DF">
      <w:pPr>
        <w:jc w:val="both"/>
        <w:rPr>
          <w:rFonts w:cstheme="minorHAnsi"/>
          <w:sz w:val="22"/>
          <w:szCs w:val="22"/>
        </w:rPr>
      </w:pPr>
    </w:p>
    <w:p w14:paraId="7C212FA7" w14:textId="77777777" w:rsidR="006105DF" w:rsidRPr="008238A5" w:rsidRDefault="006105DF" w:rsidP="006105DF">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 xml:space="preserve">Pazarlama </w:t>
      </w:r>
      <w:r w:rsidRPr="008238A5">
        <w:rPr>
          <w:rFonts w:cstheme="minorHAnsi"/>
          <w:sz w:val="22"/>
          <w:szCs w:val="22"/>
        </w:rPr>
        <w:t>: Pazar analizi, marka stratejileri, satış teknikleri ve müşteri etkileşim taktikleri aracılığıyla bu modül, katılımcıların müşteri tabanlarına etkili bir şekilde ulaşma ve onları genişletme becerilerini geliştirmeyi amaçlamaktadır. İşletmelerin deprem sonrası rekabetçi ortamlarda uyum sağlamasını ve gelişmesini sağlar.</w:t>
      </w:r>
    </w:p>
    <w:p w14:paraId="202E0E8F" w14:textId="77777777" w:rsidR="006105DF" w:rsidRPr="008238A5" w:rsidRDefault="006105DF" w:rsidP="006105DF">
      <w:pPr>
        <w:jc w:val="both"/>
        <w:rPr>
          <w:rFonts w:cstheme="minorHAnsi"/>
          <w:sz w:val="22"/>
          <w:szCs w:val="22"/>
        </w:rPr>
      </w:pPr>
    </w:p>
    <w:p w14:paraId="21F14537" w14:textId="77777777" w:rsidR="006105DF" w:rsidRPr="008238A5" w:rsidRDefault="006105DF" w:rsidP="006105DF">
      <w:pPr>
        <w:jc w:val="both"/>
        <w:rPr>
          <w:rFonts w:cstheme="minorHAnsi"/>
          <w:sz w:val="22"/>
          <w:szCs w:val="22"/>
        </w:rPr>
      </w:pPr>
      <w:r w:rsidRPr="008238A5">
        <w:rPr>
          <w:rFonts w:cstheme="minorHAnsi"/>
          <w:sz w:val="22"/>
          <w:szCs w:val="22"/>
        </w:rPr>
        <w:t xml:space="preserve">- İş </w:t>
      </w:r>
      <w:r w:rsidRPr="008238A5">
        <w:rPr>
          <w:rFonts w:cstheme="minorHAnsi"/>
          <w:b/>
          <w:bCs/>
          <w:sz w:val="22"/>
          <w:szCs w:val="22"/>
        </w:rPr>
        <w:t xml:space="preserve">Risk Yönetimi </w:t>
      </w:r>
      <w:r w:rsidRPr="008238A5">
        <w:rPr>
          <w:rFonts w:cstheme="minorHAnsi"/>
          <w:sz w:val="22"/>
          <w:szCs w:val="22"/>
        </w:rPr>
        <w:t>: Katılımcılar çeşitli iş risklerini tanımlamayı, değerlendirmeyi ve azaltmayı öğrenecekler. Bu modül, riskler karşısında zaafları en aza indirmek ve operasyonel dayanıklılığı optimize etmek için proaktif risk yönetimi stratejilerini vurgular ve afet dayanıklılığına vurgu yapar.</w:t>
      </w:r>
    </w:p>
    <w:p w14:paraId="3FF90A79" w14:textId="77777777" w:rsidR="006105DF" w:rsidRPr="008238A5" w:rsidRDefault="006105DF" w:rsidP="006105DF">
      <w:pPr>
        <w:jc w:val="both"/>
        <w:rPr>
          <w:rFonts w:cstheme="minorHAnsi"/>
          <w:sz w:val="22"/>
          <w:szCs w:val="22"/>
        </w:rPr>
      </w:pPr>
    </w:p>
    <w:p w14:paraId="5013A656" w14:textId="77777777" w:rsidR="006105DF" w:rsidRPr="008238A5" w:rsidRDefault="006105DF" w:rsidP="006105DF">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 xml:space="preserve">İş Planları </w:t>
      </w:r>
      <w:r w:rsidRPr="008238A5">
        <w:rPr>
          <w:rFonts w:cstheme="minorHAnsi"/>
          <w:sz w:val="22"/>
          <w:szCs w:val="22"/>
        </w:rPr>
        <w:t>: Eğitimin ilk gününden itibaren her modül, katılımcının iş planının belirli bölümleri üzerinde çalışmak için ayrılmış zaman içerecektir. Eğitmenler, katılımcılara adım adım rehberlik edecek ve her oturumda öğrendiklerini doğrudan planlarına uygulamalarına yardımcı olacaktır. Eğitim haftası boyunca, katılımcılar eğitmenlerin desteğiyle iş planlarını kademeli olarak oluşturacaktır. Son gün, eğitmenler eksiksiz bir iş planının yapısını açıklamak, her katılımcıyla taslakları gözden geçirmek ve her yararlanıcının eğitimi, iyileşme ve sürdürülebilirliğe odaklanan ve alınan hibeden öteye genişleyen iyi geliştirilmiş, özel bir iş planıyla tamamlamasını sağlamak için özel bir oturum düzenleyecektir.</w:t>
      </w:r>
    </w:p>
    <w:p w14:paraId="1CE11E0A" w14:textId="77777777" w:rsidR="006105DF" w:rsidRPr="008238A5" w:rsidRDefault="006105DF" w:rsidP="006105DF">
      <w:pPr>
        <w:jc w:val="both"/>
        <w:rPr>
          <w:rFonts w:cstheme="minorHAnsi"/>
          <w:sz w:val="22"/>
          <w:szCs w:val="22"/>
        </w:rPr>
      </w:pPr>
    </w:p>
    <w:p w14:paraId="1B258E56" w14:textId="77777777" w:rsidR="00F229F1" w:rsidRDefault="00F229F1" w:rsidP="006105DF">
      <w:pPr>
        <w:jc w:val="both"/>
        <w:rPr>
          <w:rFonts w:cstheme="minorHAnsi"/>
          <w:b/>
          <w:bCs/>
          <w:sz w:val="22"/>
          <w:szCs w:val="22"/>
        </w:rPr>
      </w:pPr>
    </w:p>
    <w:p w14:paraId="034A3596" w14:textId="50279FAD" w:rsidR="006105DF" w:rsidRPr="008238A5" w:rsidRDefault="006105DF" w:rsidP="006105DF">
      <w:pPr>
        <w:jc w:val="both"/>
        <w:rPr>
          <w:rFonts w:cstheme="minorHAnsi"/>
          <w:b/>
          <w:bCs/>
          <w:sz w:val="22"/>
          <w:szCs w:val="22"/>
        </w:rPr>
      </w:pPr>
      <w:r w:rsidRPr="008238A5">
        <w:rPr>
          <w:rFonts w:cstheme="minorHAnsi"/>
          <w:b/>
          <w:bCs/>
          <w:sz w:val="22"/>
          <w:szCs w:val="22"/>
        </w:rPr>
        <w:t>Teslimatlar ve Çıktılar</w:t>
      </w:r>
    </w:p>
    <w:p w14:paraId="50F667B3" w14:textId="77777777" w:rsidR="006105DF" w:rsidRPr="008238A5" w:rsidRDefault="006105DF" w:rsidP="006105DF">
      <w:pPr>
        <w:pStyle w:val="ListParagraph"/>
        <w:numPr>
          <w:ilvl w:val="0"/>
          <w:numId w:val="6"/>
        </w:numPr>
        <w:jc w:val="both"/>
        <w:rPr>
          <w:rFonts w:cstheme="minorHAnsi"/>
          <w:b/>
          <w:bCs/>
          <w:sz w:val="22"/>
          <w:szCs w:val="22"/>
        </w:rPr>
      </w:pPr>
      <w:r w:rsidRPr="008238A5">
        <w:rPr>
          <w:rFonts w:cstheme="minorHAnsi"/>
          <w:b/>
          <w:bCs/>
          <w:sz w:val="22"/>
          <w:szCs w:val="22"/>
        </w:rPr>
        <w:t xml:space="preserve">Kolaylaştırıcı Materyaller </w:t>
      </w:r>
      <w:r w:rsidRPr="008238A5">
        <w:rPr>
          <w:rFonts w:cstheme="minorHAnsi"/>
          <w:sz w:val="22"/>
          <w:szCs w:val="22"/>
        </w:rPr>
        <w:t>: Eğitimin kolaylaştırılması için gerekli tüm materyaller, el ilanları, eğitim materyalleri ve elde edilen eğitim sonuçları dahil olmak üzere sağlanmalıdır.</w:t>
      </w:r>
    </w:p>
    <w:p w14:paraId="17F51E51" w14:textId="77777777" w:rsidR="006105DF" w:rsidRPr="008238A5" w:rsidRDefault="006105DF" w:rsidP="006105DF">
      <w:pPr>
        <w:jc w:val="both"/>
        <w:rPr>
          <w:rFonts w:cstheme="minorHAnsi"/>
          <w:sz w:val="22"/>
          <w:szCs w:val="22"/>
        </w:rPr>
      </w:pPr>
    </w:p>
    <w:p w14:paraId="3198BD34" w14:textId="77777777" w:rsidR="006105DF" w:rsidRPr="008238A5" w:rsidRDefault="006105DF" w:rsidP="006105DF">
      <w:pPr>
        <w:jc w:val="both"/>
        <w:rPr>
          <w:rFonts w:cstheme="minorHAnsi"/>
          <w:sz w:val="22"/>
          <w:szCs w:val="22"/>
        </w:rPr>
      </w:pPr>
    </w:p>
    <w:p w14:paraId="4B9F3B12" w14:textId="77777777" w:rsidR="006105DF" w:rsidRPr="008238A5" w:rsidRDefault="006105DF" w:rsidP="006105DF">
      <w:pPr>
        <w:pStyle w:val="ListParagraph"/>
        <w:numPr>
          <w:ilvl w:val="0"/>
          <w:numId w:val="6"/>
        </w:numPr>
        <w:spacing w:line="259" w:lineRule="auto"/>
        <w:jc w:val="both"/>
        <w:rPr>
          <w:rFonts w:cstheme="minorHAnsi"/>
          <w:b/>
          <w:bCs/>
          <w:sz w:val="22"/>
          <w:szCs w:val="22"/>
        </w:rPr>
      </w:pPr>
      <w:r w:rsidRPr="008238A5">
        <w:rPr>
          <w:rFonts w:cstheme="minorHAnsi"/>
          <w:b/>
          <w:bCs/>
          <w:sz w:val="22"/>
          <w:szCs w:val="22"/>
        </w:rPr>
        <w:t xml:space="preserve">Katılım Belgeleri: </w:t>
      </w:r>
      <w:r w:rsidRPr="008238A5">
        <w:rPr>
          <w:rFonts w:cstheme="minorHAnsi"/>
          <w:sz w:val="22"/>
          <w:szCs w:val="22"/>
        </w:rPr>
        <w:t>Eğitime katılan yararlanıcılar tarafından imzalanan katılım belgeleri, hem elektronik hem de basılı kopya olarak mevcuttur.</w:t>
      </w:r>
    </w:p>
    <w:p w14:paraId="36AA10CF" w14:textId="77777777" w:rsidR="006105DF" w:rsidRPr="008238A5" w:rsidRDefault="006105DF" w:rsidP="006105DF">
      <w:pPr>
        <w:jc w:val="both"/>
        <w:rPr>
          <w:rFonts w:cstheme="minorHAnsi"/>
          <w:sz w:val="22"/>
          <w:szCs w:val="22"/>
        </w:rPr>
      </w:pPr>
    </w:p>
    <w:p w14:paraId="3553A4ED" w14:textId="77777777" w:rsidR="006105DF" w:rsidRPr="008238A5" w:rsidRDefault="006105DF" w:rsidP="006105DF">
      <w:pPr>
        <w:pStyle w:val="ListParagraph"/>
        <w:numPr>
          <w:ilvl w:val="0"/>
          <w:numId w:val="6"/>
        </w:numPr>
        <w:spacing w:line="259" w:lineRule="auto"/>
        <w:jc w:val="both"/>
        <w:rPr>
          <w:rFonts w:cstheme="minorHAnsi"/>
          <w:sz w:val="22"/>
          <w:szCs w:val="22"/>
        </w:rPr>
      </w:pPr>
      <w:r w:rsidRPr="008238A5">
        <w:rPr>
          <w:rFonts w:cstheme="minorHAnsi"/>
          <w:b/>
          <w:bCs/>
          <w:sz w:val="22"/>
          <w:szCs w:val="22"/>
        </w:rPr>
        <w:t xml:space="preserve">Ön ve Son Testler: </w:t>
      </w:r>
      <w:r w:rsidRPr="008238A5">
        <w:rPr>
          <w:rFonts w:cstheme="minorHAnsi"/>
          <w:sz w:val="22"/>
          <w:szCs w:val="22"/>
        </w:rPr>
        <w:t>Katılımcıların eğitim öncesi ve sonrasında doldurdukları, hem basılı hem de elektronik ortamda bulunan, test puanlarıyla birlikte katılımcıların eğitim süresince gösterdikleri performansı değerlendiren testlerdir.</w:t>
      </w:r>
    </w:p>
    <w:p w14:paraId="64EAD5C3" w14:textId="77777777" w:rsidR="006105DF" w:rsidRPr="008238A5" w:rsidRDefault="006105DF" w:rsidP="006105DF">
      <w:pPr>
        <w:jc w:val="both"/>
        <w:rPr>
          <w:rFonts w:cstheme="minorHAnsi"/>
          <w:sz w:val="22"/>
          <w:szCs w:val="22"/>
        </w:rPr>
      </w:pPr>
    </w:p>
    <w:p w14:paraId="2017867D" w14:textId="77777777" w:rsidR="006105DF" w:rsidRPr="008238A5" w:rsidRDefault="006105DF" w:rsidP="006105DF">
      <w:pPr>
        <w:pStyle w:val="ListParagraph"/>
        <w:numPr>
          <w:ilvl w:val="0"/>
          <w:numId w:val="6"/>
        </w:numPr>
        <w:spacing w:line="259" w:lineRule="auto"/>
        <w:jc w:val="both"/>
        <w:rPr>
          <w:rFonts w:cstheme="minorHAnsi"/>
          <w:sz w:val="22"/>
          <w:szCs w:val="22"/>
        </w:rPr>
      </w:pPr>
      <w:r w:rsidRPr="008238A5">
        <w:rPr>
          <w:rFonts w:cstheme="minorHAnsi"/>
          <w:b/>
          <w:bCs/>
          <w:sz w:val="22"/>
          <w:szCs w:val="22"/>
        </w:rPr>
        <w:t xml:space="preserve">Eğitim Sonrası Değerlendirme Formu ve Raporu: </w:t>
      </w:r>
      <w:r w:rsidRPr="008238A5">
        <w:rPr>
          <w:rFonts w:cstheme="minorHAnsi"/>
          <w:sz w:val="22"/>
          <w:szCs w:val="22"/>
        </w:rPr>
        <w:t>Eğitim değerlendirmesi ve katılımcı geri bildirimleri, temel bulgular ve önerilerle birlikte bir değerlendirme raporunda birleştirilir.</w:t>
      </w:r>
    </w:p>
    <w:p w14:paraId="418F2B6C" w14:textId="77777777" w:rsidR="006105DF" w:rsidRPr="008238A5" w:rsidRDefault="006105DF" w:rsidP="006105DF">
      <w:pPr>
        <w:pStyle w:val="ListParagraph"/>
        <w:numPr>
          <w:ilvl w:val="0"/>
          <w:numId w:val="6"/>
        </w:numPr>
        <w:spacing w:line="259" w:lineRule="auto"/>
        <w:jc w:val="both"/>
        <w:rPr>
          <w:rFonts w:cstheme="minorHAnsi"/>
          <w:sz w:val="22"/>
          <w:szCs w:val="22"/>
        </w:rPr>
      </w:pPr>
      <w:r w:rsidRPr="008238A5">
        <w:rPr>
          <w:rFonts w:cstheme="minorHAnsi"/>
          <w:b/>
          <w:bCs/>
          <w:sz w:val="22"/>
          <w:szCs w:val="22"/>
        </w:rPr>
        <w:t xml:space="preserve">Kapsamlı Rapor: </w:t>
      </w:r>
      <w:r w:rsidRPr="008238A5">
        <w:rPr>
          <w:rFonts w:cstheme="minorHAnsi"/>
          <w:sz w:val="22"/>
          <w:szCs w:val="22"/>
        </w:rPr>
        <w:t>Uygulanan tüm eğitimleri ve elde edilen eğitim sonuçlarını özetleyen son bir anlatı raporu.</w:t>
      </w:r>
    </w:p>
    <w:p w14:paraId="2C81A90D" w14:textId="77777777" w:rsidR="006105DF" w:rsidRPr="008238A5" w:rsidRDefault="006105DF" w:rsidP="006105DF">
      <w:pPr>
        <w:spacing w:line="259" w:lineRule="auto"/>
        <w:jc w:val="both"/>
        <w:rPr>
          <w:rFonts w:cstheme="minorHAnsi"/>
          <w:sz w:val="22"/>
          <w:szCs w:val="22"/>
        </w:rPr>
      </w:pPr>
    </w:p>
    <w:p w14:paraId="053F10E6" w14:textId="77777777" w:rsidR="006105DF" w:rsidRPr="008238A5" w:rsidRDefault="006105DF" w:rsidP="006105DF">
      <w:pPr>
        <w:jc w:val="both"/>
        <w:rPr>
          <w:rFonts w:cstheme="minorHAnsi"/>
          <w:sz w:val="22"/>
          <w:szCs w:val="22"/>
        </w:rPr>
      </w:pPr>
      <w:r w:rsidRPr="008238A5">
        <w:rPr>
          <w:rFonts w:cstheme="minorHAnsi"/>
          <w:b/>
          <w:bCs/>
          <w:sz w:val="22"/>
          <w:szCs w:val="22"/>
          <w:u w:val="single"/>
        </w:rPr>
        <w:t>Danışmanlık/Şirket Ekibinin Nitelikleri:</w:t>
      </w:r>
      <w:r w:rsidRPr="008238A5">
        <w:rPr>
          <w:rFonts w:cstheme="minorHAnsi"/>
          <w:sz w:val="22"/>
          <w:szCs w:val="22"/>
        </w:rPr>
        <w:t xml:space="preserve"> </w:t>
      </w:r>
    </w:p>
    <w:p w14:paraId="5F77EB5E" w14:textId="77777777" w:rsidR="006105DF" w:rsidRPr="008238A5" w:rsidRDefault="006105DF" w:rsidP="006105DF">
      <w:pPr>
        <w:jc w:val="both"/>
        <w:rPr>
          <w:rFonts w:cstheme="minorHAnsi"/>
          <w:sz w:val="22"/>
          <w:szCs w:val="22"/>
        </w:rPr>
      </w:pPr>
    </w:p>
    <w:p w14:paraId="168D6E9C" w14:textId="77777777" w:rsidR="006105DF" w:rsidRPr="008238A5" w:rsidRDefault="006105DF" w:rsidP="006105DF">
      <w:pPr>
        <w:jc w:val="both"/>
        <w:rPr>
          <w:rFonts w:cstheme="minorHAnsi"/>
          <w:b/>
          <w:bCs/>
          <w:sz w:val="22"/>
          <w:szCs w:val="22"/>
          <w:u w:val="single"/>
        </w:rPr>
      </w:pPr>
      <w:r w:rsidRPr="008238A5">
        <w:rPr>
          <w:rFonts w:cstheme="minorHAnsi"/>
          <w:b/>
          <w:bCs/>
          <w:sz w:val="22"/>
          <w:szCs w:val="22"/>
          <w:u w:val="single"/>
        </w:rPr>
        <w:t>Roller ve Sorumluluklar:</w:t>
      </w:r>
    </w:p>
    <w:p w14:paraId="4AD91B02" w14:textId="77777777" w:rsidR="006105DF" w:rsidRPr="008238A5" w:rsidRDefault="006105DF" w:rsidP="006105DF">
      <w:pPr>
        <w:spacing w:before="240" w:after="240"/>
        <w:jc w:val="both"/>
        <w:rPr>
          <w:rFonts w:eastAsia="Calibri" w:cstheme="minorHAnsi"/>
          <w:b/>
          <w:bCs/>
          <w:sz w:val="22"/>
          <w:szCs w:val="22"/>
        </w:rPr>
      </w:pPr>
      <w:r w:rsidRPr="008238A5">
        <w:rPr>
          <w:rFonts w:eastAsia="Calibri" w:cstheme="minorHAnsi"/>
          <w:b/>
          <w:bCs/>
          <w:sz w:val="22"/>
          <w:szCs w:val="22"/>
        </w:rPr>
        <w:t>Danışmanlık Şirketi:</w:t>
      </w:r>
    </w:p>
    <w:p w14:paraId="05EDE862" w14:textId="77777777" w:rsidR="006105DF" w:rsidRPr="008238A5" w:rsidRDefault="006105DF" w:rsidP="006105DF">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Kişiye özel 5 günlük bir işletme yönetimi eğitim müfredatı tasarlayın ve sunun</w:t>
      </w:r>
    </w:p>
    <w:p w14:paraId="12F8A41D" w14:textId="77777777" w:rsidR="006105DF" w:rsidRPr="008238A5" w:rsidRDefault="006105DF" w:rsidP="006105DF">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El ilanları ve görsel yardımcılar dahil olmak üzere tüm eğitim materyallerini hazırlayın ve teslim edin</w:t>
      </w:r>
    </w:p>
    <w:p w14:paraId="67BC9BF6" w14:textId="77777777" w:rsidR="006105DF" w:rsidRPr="008238A5" w:rsidRDefault="006105DF" w:rsidP="006105DF">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Adıyaman ve Hatay'da eğitim oturumları düzenlemek (toplam 4 grup, 110 kişi)</w:t>
      </w:r>
    </w:p>
    <w:p w14:paraId="49B82BBF" w14:textId="77777777" w:rsidR="006105DF" w:rsidRPr="008238A5" w:rsidRDefault="006105DF" w:rsidP="006105DF">
      <w:pPr>
        <w:pStyle w:val="ListParagraph"/>
        <w:numPr>
          <w:ilvl w:val="0"/>
          <w:numId w:val="2"/>
        </w:numPr>
        <w:spacing w:before="240" w:after="240" w:line="259" w:lineRule="auto"/>
        <w:jc w:val="both"/>
        <w:rPr>
          <w:rFonts w:eastAsia="Calibri" w:cstheme="minorHAnsi"/>
          <w:sz w:val="22"/>
          <w:szCs w:val="22"/>
        </w:rPr>
      </w:pPr>
      <w:r w:rsidRPr="008238A5">
        <w:rPr>
          <w:rFonts w:eastAsia="Calibri" w:cstheme="minorHAnsi"/>
          <w:sz w:val="22"/>
          <w:szCs w:val="22"/>
        </w:rPr>
        <w:t>Ön ve son testleri uygulayın ve sonuçları analiz edin</w:t>
      </w:r>
    </w:p>
    <w:p w14:paraId="39731022" w14:textId="77777777" w:rsidR="006105DF" w:rsidRPr="008238A5" w:rsidRDefault="006105DF" w:rsidP="006105DF">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Katılımcıların bireysel iş planları ve risk yönetimi geliştirmelerine destek olun</w:t>
      </w:r>
    </w:p>
    <w:p w14:paraId="0E3EC8B6" w14:textId="77777777" w:rsidR="006105DF" w:rsidRPr="008238A5" w:rsidRDefault="006105DF" w:rsidP="006105DF">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Katılım listelerini, eğitim değerlendirmelerini, puanlı ön ve son testleri ve nihai raporları sunun</w:t>
      </w:r>
    </w:p>
    <w:p w14:paraId="19A6B839" w14:textId="77777777" w:rsidR="006105DF" w:rsidRPr="008238A5" w:rsidRDefault="006105DF" w:rsidP="006105DF">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SARD ve İHH ile zamanında iletişim ve koordinasyonu sağlayın</w:t>
      </w:r>
    </w:p>
    <w:p w14:paraId="2BF62ED6" w14:textId="77777777" w:rsidR="006105DF" w:rsidRPr="008238A5" w:rsidRDefault="006105DF" w:rsidP="006105DF">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Katılımcılara eğitim sertifikası verin</w:t>
      </w:r>
    </w:p>
    <w:p w14:paraId="1E6F9033" w14:textId="77777777" w:rsidR="006105DF" w:rsidRPr="008238A5" w:rsidRDefault="006105DF" w:rsidP="006105DF">
      <w:pPr>
        <w:spacing w:before="240" w:after="240"/>
        <w:jc w:val="both"/>
        <w:rPr>
          <w:rFonts w:eastAsia="Calibri" w:cstheme="minorHAnsi"/>
          <w:b/>
          <w:bCs/>
          <w:sz w:val="22"/>
          <w:szCs w:val="22"/>
        </w:rPr>
      </w:pPr>
      <w:r w:rsidRPr="008238A5">
        <w:rPr>
          <w:rFonts w:eastAsia="Calibri" w:cstheme="minorHAnsi"/>
          <w:b/>
          <w:bCs/>
          <w:sz w:val="22"/>
          <w:szCs w:val="22"/>
        </w:rPr>
        <w:t>SARD ve İHH:</w:t>
      </w:r>
    </w:p>
    <w:p w14:paraId="38FBC0CE" w14:textId="77777777" w:rsidR="006105DF" w:rsidRPr="008238A5" w:rsidRDefault="006105DF" w:rsidP="006105DF">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Her iki lokasyon için de katılımcı listelerini sağlayın...</w:t>
      </w:r>
    </w:p>
    <w:p w14:paraId="2D20753B" w14:textId="77777777" w:rsidR="006105DF" w:rsidRPr="008238A5" w:rsidRDefault="006105DF" w:rsidP="006105DF">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Eğitim materyallerini ve metodolojisini gözden geçirin ve onaylayın</w:t>
      </w:r>
    </w:p>
    <w:p w14:paraId="513E1C78" w14:textId="77777777" w:rsidR="006105DF" w:rsidRPr="008238A5" w:rsidRDefault="006105DF" w:rsidP="006105DF">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Eğitim oturumlarını izleyin ve geri bildirim sağlayın</w:t>
      </w:r>
    </w:p>
    <w:p w14:paraId="56D6FEBC" w14:textId="77777777" w:rsidR="006105DF" w:rsidRPr="008238A5" w:rsidRDefault="006105DF" w:rsidP="006105DF">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Son raporları ve teslimatları onaylayın</w:t>
      </w:r>
    </w:p>
    <w:p w14:paraId="10F755A8" w14:textId="77777777" w:rsidR="006105DF" w:rsidRPr="008238A5" w:rsidRDefault="006105DF" w:rsidP="006105DF">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Lojistik (mekan, ikramlar, kırtasiye/malzemeler) ile ilgilenin</w:t>
      </w:r>
    </w:p>
    <w:p w14:paraId="7B9DBBF6" w14:textId="77777777" w:rsidR="006105DF" w:rsidRPr="008238A5" w:rsidRDefault="006105DF" w:rsidP="006105DF">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Eğitim katılımcılarını harekete geçirin, onlarla iletişime geçin ve onları eğitime davet edin.</w:t>
      </w:r>
    </w:p>
    <w:p w14:paraId="6D40B377" w14:textId="0AD22E98" w:rsidR="006105DF" w:rsidRDefault="006105DF" w:rsidP="006105DF">
      <w:pPr>
        <w:jc w:val="both"/>
        <w:rPr>
          <w:rFonts w:cstheme="minorHAnsi"/>
          <w:b/>
          <w:bCs/>
          <w:sz w:val="22"/>
          <w:szCs w:val="22"/>
          <w:u w:val="single"/>
        </w:rPr>
      </w:pPr>
    </w:p>
    <w:p w14:paraId="3C523D48" w14:textId="5E9DE124" w:rsidR="00F229F1" w:rsidRDefault="00F229F1" w:rsidP="006105DF">
      <w:pPr>
        <w:jc w:val="both"/>
        <w:rPr>
          <w:rFonts w:cstheme="minorHAnsi"/>
          <w:b/>
          <w:bCs/>
          <w:sz w:val="22"/>
          <w:szCs w:val="22"/>
          <w:u w:val="single"/>
        </w:rPr>
      </w:pPr>
    </w:p>
    <w:p w14:paraId="69D30402" w14:textId="5F4DAA13" w:rsidR="00F229F1" w:rsidRDefault="00F229F1" w:rsidP="006105DF">
      <w:pPr>
        <w:jc w:val="both"/>
        <w:rPr>
          <w:rFonts w:cstheme="minorHAnsi"/>
          <w:b/>
          <w:bCs/>
          <w:sz w:val="22"/>
          <w:szCs w:val="22"/>
          <w:u w:val="single"/>
        </w:rPr>
      </w:pPr>
    </w:p>
    <w:p w14:paraId="41828394" w14:textId="77777777" w:rsidR="00F229F1" w:rsidRPr="008238A5" w:rsidRDefault="00F229F1" w:rsidP="006105DF">
      <w:pPr>
        <w:jc w:val="both"/>
        <w:rPr>
          <w:rFonts w:cstheme="minorHAnsi"/>
          <w:b/>
          <w:bCs/>
          <w:sz w:val="22"/>
          <w:szCs w:val="22"/>
          <w:u w:val="single"/>
        </w:rPr>
      </w:pPr>
    </w:p>
    <w:p w14:paraId="6631DA08" w14:textId="77777777" w:rsidR="006105DF" w:rsidRPr="008238A5" w:rsidRDefault="006105DF" w:rsidP="006105DF">
      <w:pPr>
        <w:spacing w:line="259" w:lineRule="auto"/>
        <w:jc w:val="both"/>
        <w:rPr>
          <w:rFonts w:cstheme="minorHAnsi"/>
          <w:sz w:val="22"/>
          <w:szCs w:val="22"/>
        </w:rPr>
      </w:pPr>
    </w:p>
    <w:p w14:paraId="21866436" w14:textId="77777777" w:rsidR="006105DF" w:rsidRPr="008238A5" w:rsidRDefault="006105DF" w:rsidP="006105DF">
      <w:pPr>
        <w:jc w:val="both"/>
        <w:rPr>
          <w:rFonts w:cstheme="minorHAnsi"/>
          <w:sz w:val="22"/>
          <w:szCs w:val="22"/>
        </w:rPr>
      </w:pPr>
    </w:p>
    <w:p w14:paraId="3BBF3665" w14:textId="77777777" w:rsidR="006105DF" w:rsidRPr="008238A5" w:rsidRDefault="006105DF" w:rsidP="006105DF">
      <w:pPr>
        <w:jc w:val="both"/>
        <w:rPr>
          <w:rFonts w:cstheme="minorHAnsi"/>
          <w:b/>
          <w:bCs/>
          <w:sz w:val="22"/>
          <w:szCs w:val="22"/>
        </w:rPr>
      </w:pPr>
      <w:r w:rsidRPr="008238A5">
        <w:rPr>
          <w:rFonts w:cstheme="minorHAnsi"/>
          <w:b/>
          <w:bCs/>
          <w:sz w:val="22"/>
          <w:szCs w:val="22"/>
        </w:rPr>
        <w:t xml:space="preserve">4. </w:t>
      </w:r>
      <w:r w:rsidRPr="00D96912">
        <w:rPr>
          <w:rFonts w:cstheme="minorHAnsi"/>
          <w:b/>
          <w:sz w:val="22"/>
          <w:szCs w:val="22"/>
        </w:rPr>
        <w:t>Gönderim</w:t>
      </w:r>
      <w:r w:rsidRPr="008238A5">
        <w:rPr>
          <w:rFonts w:cstheme="minorHAnsi"/>
          <w:sz w:val="22"/>
          <w:szCs w:val="22"/>
        </w:rPr>
        <w:t xml:space="preserve"> </w:t>
      </w:r>
      <w:r w:rsidRPr="008238A5">
        <w:rPr>
          <w:rFonts w:cstheme="minorHAnsi"/>
          <w:b/>
          <w:bCs/>
          <w:sz w:val="22"/>
          <w:szCs w:val="22"/>
        </w:rPr>
        <w:t>Gereksinimleri</w:t>
      </w:r>
    </w:p>
    <w:p w14:paraId="3196A52C" w14:textId="77777777" w:rsidR="006105DF" w:rsidRPr="008238A5" w:rsidRDefault="006105DF" w:rsidP="006105DF">
      <w:pPr>
        <w:pStyle w:val="ListParagraph"/>
        <w:numPr>
          <w:ilvl w:val="0"/>
          <w:numId w:val="3"/>
        </w:numPr>
        <w:ind w:left="540"/>
        <w:jc w:val="both"/>
        <w:rPr>
          <w:rFonts w:cstheme="minorHAnsi"/>
          <w:sz w:val="22"/>
          <w:szCs w:val="22"/>
        </w:rPr>
      </w:pPr>
      <w:r w:rsidRPr="008238A5">
        <w:rPr>
          <w:rFonts w:cstheme="minorHAnsi"/>
          <w:sz w:val="22"/>
          <w:szCs w:val="22"/>
        </w:rPr>
        <w:t>Aşağıdakileri içeren teknik teklif:</w:t>
      </w:r>
    </w:p>
    <w:p w14:paraId="7B4B52B6" w14:textId="77777777" w:rsidR="006105DF" w:rsidRPr="008238A5" w:rsidRDefault="006105DF" w:rsidP="006105DF">
      <w:pPr>
        <w:pStyle w:val="ListParagraph"/>
        <w:numPr>
          <w:ilvl w:val="0"/>
          <w:numId w:val="4"/>
        </w:numPr>
        <w:jc w:val="both"/>
        <w:rPr>
          <w:rFonts w:eastAsia="Calibri" w:cstheme="minorHAnsi"/>
          <w:sz w:val="22"/>
          <w:szCs w:val="22"/>
        </w:rPr>
      </w:pPr>
      <w:r w:rsidRPr="008238A5">
        <w:rPr>
          <w:rFonts w:eastAsia="Calibri" w:cstheme="minorHAnsi"/>
          <w:sz w:val="22"/>
          <w:szCs w:val="22"/>
        </w:rPr>
        <w:t>Öğrenme hedefleri, oturum planları ve kolaylaştırma materyalleri (yani katılımcı notları ve/veya slayt desteleri) dahil olmak üzere ayrıntılı, beş günlük (20 saatlik) bir eğitim müfredatı.</w:t>
      </w:r>
    </w:p>
    <w:p w14:paraId="13B10622" w14:textId="77777777" w:rsidR="006105DF" w:rsidRPr="008238A5" w:rsidRDefault="006105DF" w:rsidP="006105DF">
      <w:pPr>
        <w:pStyle w:val="ListParagraph"/>
        <w:numPr>
          <w:ilvl w:val="0"/>
          <w:numId w:val="4"/>
        </w:numPr>
        <w:jc w:val="both"/>
        <w:rPr>
          <w:rFonts w:eastAsia="Calibri" w:cstheme="minorHAnsi"/>
          <w:sz w:val="22"/>
          <w:szCs w:val="22"/>
        </w:rPr>
      </w:pPr>
      <w:r w:rsidRPr="008238A5">
        <w:rPr>
          <w:rFonts w:cstheme="minorHAnsi"/>
          <w:sz w:val="22"/>
          <w:szCs w:val="22"/>
        </w:rPr>
        <w:t>Her eğitim için, oturumları sunmak için kullanılan metodoloji ve kolaylaştırma tekniklerinin açıklaması ve işletmeleri iş planı geliştirme ve risk yönetimi konusunda destekleme yaklaşımlarının ana hatlarını içeren ayrıntılı bir gündem ve ilgili şablonlar (uygulanabilir olduğunda). Eğitim gündemine kısa bir ara eklenecektir.</w:t>
      </w:r>
    </w:p>
    <w:p w14:paraId="0944FD21" w14:textId="77777777" w:rsidR="006105DF" w:rsidRPr="008238A5" w:rsidRDefault="006105DF" w:rsidP="006105DF">
      <w:pPr>
        <w:pStyle w:val="ListParagraph"/>
        <w:numPr>
          <w:ilvl w:val="0"/>
          <w:numId w:val="4"/>
        </w:numPr>
        <w:jc w:val="both"/>
        <w:rPr>
          <w:rFonts w:cstheme="minorHAnsi"/>
          <w:sz w:val="22"/>
          <w:szCs w:val="22"/>
        </w:rPr>
      </w:pPr>
      <w:r w:rsidRPr="008238A5">
        <w:rPr>
          <w:rFonts w:cstheme="minorHAnsi"/>
          <w:sz w:val="22"/>
          <w:szCs w:val="22"/>
        </w:rPr>
        <w:t>Müfredata uygun ön ve son testler.</w:t>
      </w:r>
    </w:p>
    <w:p w14:paraId="36AF85FF" w14:textId="77777777" w:rsidR="006105DF" w:rsidRPr="008238A5" w:rsidRDefault="006105DF" w:rsidP="006105DF">
      <w:pPr>
        <w:pStyle w:val="ListParagraph"/>
        <w:numPr>
          <w:ilvl w:val="0"/>
          <w:numId w:val="4"/>
        </w:numPr>
        <w:jc w:val="both"/>
        <w:rPr>
          <w:rFonts w:cstheme="minorHAnsi"/>
          <w:sz w:val="22"/>
          <w:szCs w:val="22"/>
        </w:rPr>
      </w:pPr>
      <w:r w:rsidRPr="008238A5">
        <w:rPr>
          <w:rFonts w:cstheme="minorHAnsi"/>
          <w:sz w:val="22"/>
          <w:szCs w:val="22"/>
        </w:rPr>
        <w:t>Eğitim değerlendirme formları</w:t>
      </w:r>
    </w:p>
    <w:p w14:paraId="06B46B85" w14:textId="77777777" w:rsidR="006105DF" w:rsidRPr="008238A5" w:rsidRDefault="006105DF" w:rsidP="006105DF">
      <w:pPr>
        <w:pStyle w:val="ListParagraph"/>
        <w:numPr>
          <w:ilvl w:val="0"/>
          <w:numId w:val="4"/>
        </w:numPr>
        <w:jc w:val="both"/>
        <w:rPr>
          <w:rFonts w:cstheme="minorHAnsi"/>
          <w:sz w:val="22"/>
          <w:szCs w:val="22"/>
        </w:rPr>
      </w:pPr>
      <w:r w:rsidRPr="008238A5">
        <w:rPr>
          <w:rFonts w:cstheme="minorHAnsi"/>
          <w:sz w:val="22"/>
          <w:szCs w:val="22"/>
        </w:rPr>
        <w:t>Faaliyet raporlama şablonu/ana hatları</w:t>
      </w:r>
    </w:p>
    <w:p w14:paraId="528D85A9" w14:textId="77777777" w:rsidR="006105DF" w:rsidRPr="008238A5" w:rsidRDefault="006105DF" w:rsidP="006105DF">
      <w:pPr>
        <w:pStyle w:val="ListParagraph"/>
        <w:numPr>
          <w:ilvl w:val="0"/>
          <w:numId w:val="3"/>
        </w:numPr>
        <w:spacing w:line="259" w:lineRule="auto"/>
        <w:ind w:left="540"/>
        <w:jc w:val="both"/>
        <w:rPr>
          <w:rFonts w:cstheme="minorHAnsi"/>
          <w:sz w:val="22"/>
          <w:szCs w:val="22"/>
        </w:rPr>
      </w:pPr>
      <w:r w:rsidRPr="008238A5">
        <w:rPr>
          <w:rFonts w:cstheme="minorHAnsi"/>
          <w:sz w:val="22"/>
          <w:szCs w:val="22"/>
        </w:rPr>
        <w:t>Benzer eğitimlerde uygun deneyim ve yeterliliklerin gösterildiği belgeler – şunları içerir:</w:t>
      </w:r>
    </w:p>
    <w:p w14:paraId="1A4D9504" w14:textId="77777777" w:rsidR="006105DF" w:rsidRPr="008238A5" w:rsidRDefault="006105DF" w:rsidP="006105DF">
      <w:pPr>
        <w:pStyle w:val="ListParagraph"/>
        <w:numPr>
          <w:ilvl w:val="0"/>
          <w:numId w:val="4"/>
        </w:numPr>
        <w:spacing w:line="259" w:lineRule="auto"/>
        <w:jc w:val="both"/>
        <w:rPr>
          <w:rFonts w:cstheme="minorHAnsi"/>
          <w:sz w:val="22"/>
          <w:szCs w:val="22"/>
        </w:rPr>
      </w:pPr>
      <w:r w:rsidRPr="008238A5">
        <w:rPr>
          <w:rFonts w:cstheme="minorHAnsi"/>
          <w:sz w:val="22"/>
          <w:szCs w:val="22"/>
        </w:rPr>
        <w:t>Danışmanlık ekibi ve eğitmenlerin özgeçmişleri.</w:t>
      </w:r>
    </w:p>
    <w:p w14:paraId="2D5A6E28" w14:textId="77777777" w:rsidR="006105DF" w:rsidRPr="008238A5" w:rsidRDefault="006105DF" w:rsidP="006105DF">
      <w:pPr>
        <w:pStyle w:val="ListParagraph"/>
        <w:numPr>
          <w:ilvl w:val="0"/>
          <w:numId w:val="4"/>
        </w:numPr>
        <w:spacing w:line="259" w:lineRule="auto"/>
        <w:jc w:val="both"/>
        <w:rPr>
          <w:rFonts w:cstheme="minorHAnsi"/>
          <w:sz w:val="22"/>
          <w:szCs w:val="22"/>
        </w:rPr>
      </w:pPr>
      <w:r w:rsidRPr="008238A5">
        <w:rPr>
          <w:rFonts w:cstheme="minorHAnsi"/>
          <w:sz w:val="22"/>
          <w:szCs w:val="22"/>
        </w:rPr>
        <w:t>Danışmanlık ekibinin yapısı ve rolleri.</w:t>
      </w:r>
    </w:p>
    <w:p w14:paraId="0140B4C0" w14:textId="77777777" w:rsidR="006105DF" w:rsidRPr="008238A5" w:rsidRDefault="006105DF" w:rsidP="006105DF">
      <w:pPr>
        <w:pStyle w:val="ListParagraph"/>
        <w:numPr>
          <w:ilvl w:val="0"/>
          <w:numId w:val="4"/>
        </w:numPr>
        <w:spacing w:line="259" w:lineRule="auto"/>
        <w:jc w:val="both"/>
        <w:rPr>
          <w:rFonts w:cstheme="minorHAnsi"/>
          <w:sz w:val="22"/>
          <w:szCs w:val="22"/>
        </w:rPr>
      </w:pPr>
      <w:r w:rsidRPr="008238A5">
        <w:rPr>
          <w:rFonts w:cstheme="minorHAnsi"/>
          <w:sz w:val="22"/>
          <w:szCs w:val="22"/>
        </w:rPr>
        <w:t xml:space="preserve">Aşağıdakilerden </w:t>
      </w:r>
      <w:r w:rsidRPr="008238A5">
        <w:rPr>
          <w:rFonts w:eastAsiaTheme="minorEastAsia" w:cstheme="minorHAnsi"/>
          <w:sz w:val="22"/>
          <w:szCs w:val="22"/>
        </w:rPr>
        <w:t>üç ila beş tanesi: referans mektupları, sözleşmeler.</w:t>
      </w:r>
    </w:p>
    <w:p w14:paraId="2A62D06A" w14:textId="77777777" w:rsidR="006105DF" w:rsidRPr="008238A5" w:rsidRDefault="006105DF" w:rsidP="006105DF">
      <w:pPr>
        <w:pStyle w:val="ListParagraph"/>
        <w:numPr>
          <w:ilvl w:val="0"/>
          <w:numId w:val="3"/>
        </w:numPr>
        <w:spacing w:line="259" w:lineRule="auto"/>
        <w:ind w:left="540"/>
        <w:jc w:val="both"/>
        <w:rPr>
          <w:rFonts w:cstheme="minorHAnsi"/>
          <w:sz w:val="22"/>
          <w:szCs w:val="22"/>
        </w:rPr>
      </w:pPr>
      <w:r w:rsidRPr="008238A5">
        <w:rPr>
          <w:rFonts w:cstheme="minorHAnsi"/>
          <w:sz w:val="22"/>
          <w:szCs w:val="22"/>
        </w:rPr>
        <w:t>Eğitimin tasarımı, hazırlanması, sunulması ve raporlanmasıyla ilgili maliyetleri ayrıntılı olarak açıklayan mali teklif.</w:t>
      </w:r>
    </w:p>
    <w:p w14:paraId="2BE241DC" w14:textId="77777777" w:rsidR="006105DF" w:rsidRPr="008238A5" w:rsidRDefault="006105DF" w:rsidP="006105DF">
      <w:pPr>
        <w:spacing w:before="240"/>
        <w:jc w:val="both"/>
        <w:rPr>
          <w:rFonts w:cstheme="minorHAnsi"/>
          <w:b/>
          <w:bCs/>
          <w:sz w:val="22"/>
          <w:szCs w:val="22"/>
          <w:u w:val="single"/>
        </w:rPr>
      </w:pPr>
      <w:r w:rsidRPr="008238A5">
        <w:rPr>
          <w:rFonts w:cstheme="minorHAnsi"/>
          <w:b/>
          <w:bCs/>
          <w:sz w:val="22"/>
          <w:szCs w:val="22"/>
          <w:u w:val="single"/>
        </w:rPr>
        <w:t>Gönderim Kuralları:</w:t>
      </w:r>
    </w:p>
    <w:p w14:paraId="2205619D" w14:textId="77777777" w:rsidR="006105DF" w:rsidRPr="008238A5" w:rsidRDefault="006105DF" w:rsidP="006105DF">
      <w:pPr>
        <w:pStyle w:val="ListParagraph"/>
        <w:numPr>
          <w:ilvl w:val="0"/>
          <w:numId w:val="5"/>
        </w:numPr>
        <w:jc w:val="both"/>
        <w:rPr>
          <w:rFonts w:cstheme="minorHAnsi"/>
          <w:sz w:val="22"/>
          <w:szCs w:val="22"/>
        </w:rPr>
      </w:pPr>
      <w:r w:rsidRPr="008238A5">
        <w:rPr>
          <w:rFonts w:cstheme="minorHAnsi"/>
          <w:sz w:val="22"/>
          <w:szCs w:val="22"/>
        </w:rPr>
        <w:t>Başvuranların banka hesabı.</w:t>
      </w:r>
    </w:p>
    <w:p w14:paraId="437E8735" w14:textId="77777777" w:rsidR="006105DF" w:rsidRPr="008238A5" w:rsidRDefault="006105DF" w:rsidP="006105DF">
      <w:pPr>
        <w:pStyle w:val="ListParagraph"/>
        <w:numPr>
          <w:ilvl w:val="0"/>
          <w:numId w:val="5"/>
        </w:numPr>
        <w:jc w:val="both"/>
        <w:rPr>
          <w:rFonts w:cstheme="minorHAnsi"/>
          <w:sz w:val="22"/>
          <w:szCs w:val="22"/>
        </w:rPr>
      </w:pPr>
      <w:r w:rsidRPr="008238A5">
        <w:rPr>
          <w:rFonts w:cstheme="minorHAnsi"/>
          <w:sz w:val="22"/>
          <w:szCs w:val="22"/>
        </w:rPr>
        <w:t>Şirket kuruluşu.</w:t>
      </w:r>
    </w:p>
    <w:p w14:paraId="6815E32A" w14:textId="7235A530" w:rsidR="006105DF" w:rsidRPr="008238A5" w:rsidRDefault="006105DF" w:rsidP="006105DF">
      <w:pPr>
        <w:pStyle w:val="ListParagraph"/>
        <w:numPr>
          <w:ilvl w:val="0"/>
          <w:numId w:val="5"/>
        </w:numPr>
        <w:jc w:val="both"/>
        <w:rPr>
          <w:rFonts w:cstheme="minorHAnsi"/>
          <w:sz w:val="22"/>
          <w:szCs w:val="22"/>
        </w:rPr>
      </w:pPr>
      <w:r w:rsidRPr="008238A5">
        <w:rPr>
          <w:rFonts w:cstheme="minorHAnsi"/>
          <w:sz w:val="22"/>
          <w:szCs w:val="22"/>
        </w:rPr>
        <w:t xml:space="preserve">Teklif verme son tarihi </w:t>
      </w:r>
      <w:r w:rsidR="00FE535C">
        <w:rPr>
          <w:rFonts w:cstheme="minorHAnsi" w:hint="cs"/>
          <w:color w:val="FF0000"/>
          <w:sz w:val="22"/>
          <w:szCs w:val="22"/>
          <w:rtl/>
        </w:rPr>
        <w:t>1</w:t>
      </w:r>
      <w:bookmarkStart w:id="0" w:name="_GoBack"/>
      <w:bookmarkEnd w:id="0"/>
      <w:r>
        <w:rPr>
          <w:rFonts w:cstheme="minorHAnsi"/>
          <w:color w:val="FF0000"/>
          <w:sz w:val="22"/>
          <w:szCs w:val="22"/>
        </w:rPr>
        <w:t xml:space="preserve">0 Haziran 2025, </w:t>
      </w:r>
      <w:r w:rsidRPr="008238A5">
        <w:rPr>
          <w:rFonts w:eastAsia="Calibri" w:cstheme="minorHAnsi"/>
          <w:color w:val="000000" w:themeColor="text1"/>
          <w:sz w:val="22"/>
          <w:szCs w:val="22"/>
        </w:rPr>
        <w:t xml:space="preserve">Türkiye saati </w:t>
      </w:r>
      <w:r w:rsidRPr="008238A5">
        <w:rPr>
          <w:rFonts w:cstheme="minorHAnsi"/>
          <w:sz w:val="22"/>
          <w:szCs w:val="22"/>
        </w:rPr>
        <w:t xml:space="preserve">ile 23:59'dur </w:t>
      </w:r>
      <w:r w:rsidRPr="008238A5">
        <w:rPr>
          <w:rFonts w:eastAsia="Calibri" w:cstheme="minorHAnsi"/>
          <w:color w:val="000000" w:themeColor="text1"/>
          <w:sz w:val="22"/>
          <w:szCs w:val="22"/>
        </w:rPr>
        <w:t xml:space="preserve">. </w:t>
      </w:r>
      <w:r w:rsidRPr="008238A5">
        <w:rPr>
          <w:rFonts w:cstheme="minorHAnsi"/>
          <w:sz w:val="22"/>
          <w:szCs w:val="22"/>
        </w:rPr>
        <w:t>Son tarihten sonra gönderilen teklifler değerlendirilmeyecektir.</w:t>
      </w:r>
    </w:p>
    <w:p w14:paraId="2AB8C1CA" w14:textId="77777777" w:rsidR="006105DF" w:rsidRPr="008238A5" w:rsidRDefault="006105DF" w:rsidP="006105DF">
      <w:pPr>
        <w:pStyle w:val="ListParagraph"/>
        <w:numPr>
          <w:ilvl w:val="0"/>
          <w:numId w:val="5"/>
        </w:numPr>
        <w:jc w:val="both"/>
        <w:rPr>
          <w:rFonts w:cstheme="minorHAnsi"/>
          <w:sz w:val="22"/>
          <w:szCs w:val="22"/>
        </w:rPr>
      </w:pPr>
      <w:r w:rsidRPr="008238A5">
        <w:rPr>
          <w:rFonts w:cstheme="minorHAnsi"/>
          <w:sz w:val="22"/>
          <w:szCs w:val="22"/>
        </w:rPr>
        <w:t>Sorularınız için lütfen şu adrese e-posta gönderin: procurement@sardngo.org. E-posta sorguları konu satırı şu şekilde başlamalıdır: “Sorgular – İşletme Yönetimi Eğitimi”.</w:t>
      </w:r>
    </w:p>
    <w:p w14:paraId="0CEF1BB5" w14:textId="77777777" w:rsidR="006105DF" w:rsidRPr="008238A5" w:rsidRDefault="006105DF" w:rsidP="006105DF">
      <w:pPr>
        <w:pStyle w:val="ListParagraph"/>
        <w:numPr>
          <w:ilvl w:val="0"/>
          <w:numId w:val="5"/>
        </w:numPr>
        <w:jc w:val="both"/>
        <w:rPr>
          <w:rFonts w:cstheme="minorHAnsi"/>
          <w:sz w:val="22"/>
          <w:szCs w:val="22"/>
        </w:rPr>
      </w:pPr>
      <w:r w:rsidRPr="008238A5">
        <w:rPr>
          <w:rFonts w:cstheme="minorHAnsi"/>
          <w:sz w:val="22"/>
          <w:szCs w:val="22"/>
        </w:rPr>
        <w:t xml:space="preserve">Tüm teklifler SARD ve IHH'a e-posta yoluyla gönderilmelidir: </w:t>
      </w:r>
      <w:hyperlink r:id="rId7" w:history="1">
        <w:r w:rsidRPr="008238A5">
          <w:rPr>
            <w:rStyle w:val="Hyperlink"/>
            <w:rFonts w:cstheme="minorHAnsi"/>
            <w:sz w:val="22"/>
            <w:szCs w:val="22"/>
          </w:rPr>
          <w:t>sard.tenders@sardngo.org</w:t>
        </w:r>
      </w:hyperlink>
      <w:r w:rsidRPr="008238A5">
        <w:rPr>
          <w:rFonts w:cstheme="minorHAnsi"/>
          <w:sz w:val="22"/>
          <w:szCs w:val="22"/>
        </w:rPr>
        <w:t xml:space="preserve"> </w:t>
      </w:r>
    </w:p>
    <w:p w14:paraId="4C06A082" w14:textId="77777777" w:rsidR="006105DF" w:rsidRPr="008238A5" w:rsidRDefault="006105DF" w:rsidP="006105DF">
      <w:pPr>
        <w:jc w:val="both"/>
        <w:rPr>
          <w:rFonts w:cstheme="minorHAnsi"/>
          <w:sz w:val="22"/>
          <w:szCs w:val="22"/>
        </w:rPr>
      </w:pPr>
    </w:p>
    <w:p w14:paraId="35486615" w14:textId="77777777" w:rsidR="006105DF" w:rsidRPr="008238A5" w:rsidRDefault="006105DF" w:rsidP="006105DF">
      <w:pPr>
        <w:jc w:val="both"/>
        <w:rPr>
          <w:rFonts w:cstheme="minorHAnsi"/>
          <w:sz w:val="22"/>
          <w:szCs w:val="22"/>
        </w:rPr>
      </w:pPr>
    </w:p>
    <w:p w14:paraId="3580F8B7" w14:textId="77777777" w:rsidR="006105DF" w:rsidRPr="008238A5" w:rsidRDefault="006105DF" w:rsidP="006105DF">
      <w:pPr>
        <w:jc w:val="both"/>
        <w:rPr>
          <w:rFonts w:cstheme="minorHAnsi"/>
          <w:sz w:val="22"/>
          <w:szCs w:val="22"/>
        </w:rPr>
      </w:pPr>
    </w:p>
    <w:p w14:paraId="2FD24A17" w14:textId="77777777" w:rsidR="006105DF" w:rsidRPr="008238A5" w:rsidRDefault="006105DF" w:rsidP="006105DF">
      <w:pPr>
        <w:jc w:val="both"/>
        <w:rPr>
          <w:rFonts w:cstheme="minorHAnsi"/>
          <w:b/>
          <w:bCs/>
          <w:sz w:val="22"/>
          <w:szCs w:val="22"/>
        </w:rPr>
      </w:pPr>
      <w:r w:rsidRPr="008238A5">
        <w:rPr>
          <w:rFonts w:cstheme="minorHAnsi"/>
          <w:b/>
          <w:bCs/>
          <w:sz w:val="22"/>
          <w:szCs w:val="22"/>
        </w:rPr>
        <w:t>5. Seçim Kriterleri</w:t>
      </w:r>
    </w:p>
    <w:p w14:paraId="31712461" w14:textId="77777777" w:rsidR="006105DF" w:rsidRPr="008238A5" w:rsidRDefault="006105DF" w:rsidP="006105DF">
      <w:pPr>
        <w:jc w:val="both"/>
        <w:rPr>
          <w:rFonts w:cstheme="minorHAnsi"/>
          <w:sz w:val="22"/>
          <w:szCs w:val="22"/>
        </w:rPr>
      </w:pPr>
      <w:r w:rsidRPr="008238A5">
        <w:rPr>
          <w:rFonts w:cstheme="minorHAnsi"/>
          <w:sz w:val="22"/>
          <w:szCs w:val="22"/>
        </w:rPr>
        <w:t>Teklifler aşağıdaki kriterlere göre puanlanacaktır:</w:t>
      </w:r>
    </w:p>
    <w:p w14:paraId="5C8D76C7" w14:textId="77777777" w:rsidR="006105DF" w:rsidRPr="008238A5" w:rsidRDefault="006105DF" w:rsidP="006105DF">
      <w:pPr>
        <w:jc w:val="both"/>
        <w:rPr>
          <w:rFonts w:cstheme="minorHAnsi"/>
          <w:sz w:val="22"/>
          <w:szCs w:val="22"/>
          <w:rtl/>
        </w:rPr>
      </w:pPr>
      <w:r w:rsidRPr="008238A5">
        <w:rPr>
          <w:rFonts w:cstheme="minorHAnsi"/>
          <w:sz w:val="22"/>
          <w:szCs w:val="22"/>
        </w:rPr>
        <w:t xml:space="preserve">  </w:t>
      </w:r>
    </w:p>
    <w:p w14:paraId="3A128C75" w14:textId="77777777" w:rsidR="006105DF" w:rsidRPr="00016F79" w:rsidRDefault="006105DF" w:rsidP="006105DF">
      <w:pPr>
        <w:jc w:val="both"/>
        <w:rPr>
          <w:rFonts w:cstheme="minorHAnsi"/>
          <w:sz w:val="22"/>
          <w:szCs w:val="22"/>
        </w:rPr>
      </w:pPr>
      <w:r w:rsidRPr="00016F79">
        <w:rPr>
          <w:rFonts w:cstheme="minorHAnsi"/>
          <w:sz w:val="22"/>
          <w:szCs w:val="22"/>
        </w:rPr>
        <w:t>Deneyim ve Nitelikler: %50</w:t>
      </w:r>
    </w:p>
    <w:p w14:paraId="74A32803" w14:textId="77777777" w:rsidR="006105DF" w:rsidRPr="00016F79" w:rsidRDefault="006105DF" w:rsidP="006105DF">
      <w:pPr>
        <w:jc w:val="both"/>
        <w:rPr>
          <w:rFonts w:cstheme="minorHAnsi"/>
          <w:sz w:val="22"/>
          <w:szCs w:val="22"/>
        </w:rPr>
      </w:pPr>
      <w:r w:rsidRPr="00016F79">
        <w:rPr>
          <w:rFonts w:cstheme="minorHAnsi"/>
          <w:sz w:val="22"/>
          <w:szCs w:val="22"/>
        </w:rPr>
        <w:t>Teknik Teklif: %25</w:t>
      </w:r>
    </w:p>
    <w:p w14:paraId="3242EE2E" w14:textId="77777777" w:rsidR="006105DF" w:rsidRPr="00016F79" w:rsidRDefault="006105DF" w:rsidP="006105DF">
      <w:pPr>
        <w:jc w:val="both"/>
        <w:rPr>
          <w:rFonts w:cstheme="minorHAnsi"/>
          <w:sz w:val="22"/>
          <w:szCs w:val="22"/>
        </w:rPr>
      </w:pPr>
      <w:r w:rsidRPr="00016F79">
        <w:rPr>
          <w:rFonts w:cstheme="minorHAnsi"/>
          <w:sz w:val="22"/>
          <w:szCs w:val="22"/>
        </w:rPr>
        <w:t>Finansal Teklif: %25</w:t>
      </w:r>
    </w:p>
    <w:p w14:paraId="4CB8348D" w14:textId="77777777" w:rsidR="006105DF" w:rsidRPr="008238A5" w:rsidRDefault="006105DF" w:rsidP="006105DF">
      <w:pPr>
        <w:jc w:val="both"/>
        <w:rPr>
          <w:rFonts w:cstheme="minorHAnsi"/>
          <w:sz w:val="22"/>
          <w:szCs w:val="22"/>
          <w:highlight w:val="yellow"/>
        </w:rPr>
      </w:pPr>
    </w:p>
    <w:p w14:paraId="51C4D6E5" w14:textId="77777777" w:rsidR="006105DF" w:rsidRPr="008238A5" w:rsidRDefault="006105DF" w:rsidP="006105DF">
      <w:pPr>
        <w:jc w:val="both"/>
        <w:rPr>
          <w:rFonts w:cstheme="minorHAnsi"/>
          <w:sz w:val="22"/>
          <w:szCs w:val="22"/>
          <w:highlight w:val="yellow"/>
        </w:rPr>
      </w:pPr>
      <w:r w:rsidRPr="008238A5">
        <w:rPr>
          <w:rFonts w:cstheme="minorHAnsi"/>
          <w:b/>
          <w:bCs/>
          <w:sz w:val="22"/>
          <w:szCs w:val="22"/>
        </w:rPr>
        <w:t>Deneyim ve Nitelikler:</w:t>
      </w:r>
    </w:p>
    <w:p w14:paraId="0774E896" w14:textId="77777777" w:rsidR="006105DF" w:rsidRPr="008238A5" w:rsidRDefault="006105DF" w:rsidP="006105DF">
      <w:pPr>
        <w:jc w:val="both"/>
        <w:rPr>
          <w:rFonts w:cstheme="minorHAnsi"/>
          <w:b/>
          <w:bCs/>
          <w:sz w:val="22"/>
          <w:szCs w:val="22"/>
        </w:rPr>
      </w:pPr>
      <w:r w:rsidRPr="008238A5">
        <w:rPr>
          <w:rFonts w:cstheme="minorHAnsi"/>
          <w:sz w:val="22"/>
          <w:szCs w:val="22"/>
        </w:rPr>
        <w:t xml:space="preserve">Referans mektupları, resmi değerlendirme için benzer eğitimlere ilişkin sözleşmeler, </w:t>
      </w:r>
      <w:r w:rsidRPr="008238A5">
        <w:rPr>
          <w:rFonts w:cstheme="minorHAnsi"/>
          <w:b/>
          <w:bCs/>
          <w:sz w:val="22"/>
          <w:szCs w:val="22"/>
        </w:rPr>
        <w:t>her sözleşmenin her iki tarafça imzalanması ve kaşelenmesi gerekmektedir (Referans mektubunun bağışçı/kuruluş tarafından imzalanması ve kaşelenmesi gerekmektedir, aksi takdirde geçerli sayılmayacaktır).</w:t>
      </w:r>
    </w:p>
    <w:p w14:paraId="2B0B6A5B" w14:textId="77777777" w:rsidR="006105DF" w:rsidRPr="008238A5" w:rsidRDefault="006105DF" w:rsidP="006105DF">
      <w:pPr>
        <w:jc w:val="both"/>
        <w:rPr>
          <w:rFonts w:cstheme="minorHAnsi"/>
          <w:sz w:val="22"/>
          <w:szCs w:val="22"/>
        </w:rPr>
      </w:pPr>
      <w:r w:rsidRPr="008238A5">
        <w:rPr>
          <w:rFonts w:cstheme="minorHAnsi"/>
          <w:sz w:val="22"/>
          <w:szCs w:val="22"/>
        </w:rPr>
        <w:t>Maksimum puan 25'tir (her sözleşme veya mektup için 5 puan).</w:t>
      </w:r>
    </w:p>
    <w:p w14:paraId="6FFBF0CF" w14:textId="46FE9517" w:rsidR="006105DF" w:rsidRDefault="006105DF" w:rsidP="006105DF">
      <w:pPr>
        <w:jc w:val="both"/>
        <w:rPr>
          <w:rFonts w:cstheme="minorHAnsi"/>
          <w:b/>
          <w:bCs/>
          <w:sz w:val="22"/>
          <w:szCs w:val="22"/>
        </w:rPr>
      </w:pPr>
      <w:r w:rsidRPr="008238A5">
        <w:rPr>
          <w:rFonts w:cstheme="minorHAnsi"/>
          <w:b/>
          <w:bCs/>
          <w:sz w:val="22"/>
          <w:szCs w:val="22"/>
        </w:rPr>
        <w:t>25 üzerinden 15'in altında olan deneyim ve referans puanları reddedilecektir.</w:t>
      </w:r>
    </w:p>
    <w:p w14:paraId="2FAA6268" w14:textId="368DFB76" w:rsidR="00F229F1" w:rsidRDefault="00F229F1" w:rsidP="006105DF">
      <w:pPr>
        <w:jc w:val="both"/>
        <w:rPr>
          <w:rFonts w:cstheme="minorHAnsi"/>
          <w:b/>
          <w:bCs/>
          <w:sz w:val="22"/>
          <w:szCs w:val="22"/>
        </w:rPr>
      </w:pPr>
    </w:p>
    <w:p w14:paraId="7FF4A2DF" w14:textId="67195060" w:rsidR="00F229F1" w:rsidRDefault="00F229F1" w:rsidP="006105DF">
      <w:pPr>
        <w:jc w:val="both"/>
        <w:rPr>
          <w:rFonts w:cstheme="minorHAnsi"/>
          <w:b/>
          <w:bCs/>
          <w:sz w:val="22"/>
          <w:szCs w:val="22"/>
        </w:rPr>
      </w:pPr>
    </w:p>
    <w:p w14:paraId="512D6D62" w14:textId="56CA21C4" w:rsidR="00F229F1" w:rsidRDefault="00F229F1" w:rsidP="006105DF">
      <w:pPr>
        <w:jc w:val="both"/>
        <w:rPr>
          <w:rFonts w:cstheme="minorHAnsi"/>
          <w:b/>
          <w:bCs/>
          <w:sz w:val="22"/>
          <w:szCs w:val="22"/>
        </w:rPr>
      </w:pPr>
    </w:p>
    <w:p w14:paraId="237E3BE3" w14:textId="77777777" w:rsidR="00F229F1" w:rsidRPr="008238A5" w:rsidRDefault="00F229F1" w:rsidP="006105DF">
      <w:pPr>
        <w:jc w:val="both"/>
        <w:rPr>
          <w:rFonts w:cstheme="minorHAnsi"/>
          <w:b/>
          <w:bCs/>
          <w:sz w:val="22"/>
          <w:szCs w:val="22"/>
        </w:rPr>
      </w:pPr>
    </w:p>
    <w:p w14:paraId="2F52278B" w14:textId="77777777" w:rsidR="006105DF" w:rsidRPr="008238A5" w:rsidRDefault="006105DF" w:rsidP="006105DF">
      <w:pPr>
        <w:jc w:val="both"/>
        <w:rPr>
          <w:rFonts w:eastAsiaTheme="minorEastAsia" w:cstheme="minorHAnsi"/>
          <w:sz w:val="22"/>
          <w:szCs w:val="22"/>
          <w:u w:val="single"/>
        </w:rPr>
      </w:pPr>
      <w:r w:rsidRPr="008238A5">
        <w:rPr>
          <w:rFonts w:eastAsiaTheme="minorEastAsia" w:cstheme="minorHAnsi"/>
          <w:sz w:val="22"/>
          <w:szCs w:val="22"/>
          <w:u w:val="single"/>
        </w:rPr>
        <w:t>Benzer eğitim, ilgili temaları paylaşan veya benzer grupları hedefleyen eğitim programlarını ifade eder — gelir getiren faaliyetlerde bulunan küçük işletme sahipleri gibi. Bu eğitimler finansal yönetim, pazarlama, iş planlaması veya iş kurtarma gibi alanları kapsayabilir. İçerik aynı olmak zorunda değildir, ancak hedeflerde veya katılımcı profillerinde net bir örtüşme olmalıdır.</w:t>
      </w:r>
    </w:p>
    <w:p w14:paraId="7DC3BA29" w14:textId="77777777" w:rsidR="006105DF" w:rsidRPr="008238A5" w:rsidRDefault="006105DF" w:rsidP="006105DF">
      <w:pPr>
        <w:jc w:val="both"/>
        <w:rPr>
          <w:rFonts w:eastAsiaTheme="minorEastAsia" w:cstheme="minorHAnsi"/>
          <w:sz w:val="22"/>
          <w:szCs w:val="22"/>
          <w:u w:val="single"/>
        </w:rPr>
      </w:pPr>
    </w:p>
    <w:p w14:paraId="58C9BFB6" w14:textId="77777777" w:rsidR="006105DF" w:rsidRPr="008238A5" w:rsidRDefault="006105DF" w:rsidP="006105DF">
      <w:pPr>
        <w:jc w:val="both"/>
        <w:rPr>
          <w:rFonts w:cstheme="minorHAnsi"/>
          <w:sz w:val="22"/>
          <w:szCs w:val="22"/>
        </w:rPr>
      </w:pPr>
      <w:r w:rsidRPr="008238A5">
        <w:rPr>
          <w:rFonts w:cstheme="minorHAnsi"/>
          <w:b/>
          <w:bCs/>
          <w:sz w:val="22"/>
          <w:szCs w:val="22"/>
        </w:rPr>
        <w:t>Teknik Teklif:</w:t>
      </w:r>
      <w:r w:rsidRPr="008238A5">
        <w:rPr>
          <w:rFonts w:eastAsiaTheme="minorEastAsia" w:cstheme="minorHAnsi"/>
          <w:sz w:val="22"/>
          <w:szCs w:val="22"/>
        </w:rPr>
        <w:t xml:space="preserve"> </w:t>
      </w:r>
    </w:p>
    <w:p w14:paraId="4ECC9D08" w14:textId="77777777" w:rsidR="006105DF" w:rsidRPr="008238A5" w:rsidRDefault="006105DF" w:rsidP="006105DF">
      <w:pPr>
        <w:jc w:val="both"/>
        <w:rPr>
          <w:rFonts w:cstheme="minorHAnsi"/>
          <w:sz w:val="22"/>
          <w:szCs w:val="22"/>
        </w:rPr>
      </w:pPr>
      <w:r w:rsidRPr="008238A5">
        <w:rPr>
          <w:rFonts w:eastAsiaTheme="minorEastAsia" w:cstheme="minorHAnsi"/>
          <w:sz w:val="22"/>
          <w:szCs w:val="22"/>
        </w:rPr>
        <w:t>Sunulacak teklif (Eğitim Müfredatı) aşağıdaki kriterleri içermelidir:</w:t>
      </w:r>
    </w:p>
    <w:p w14:paraId="1AB115AC" w14:textId="77777777" w:rsidR="006105DF" w:rsidRPr="008238A5" w:rsidRDefault="006105DF" w:rsidP="006105DF">
      <w:pPr>
        <w:jc w:val="both"/>
        <w:rPr>
          <w:rFonts w:eastAsiaTheme="minorEastAsia" w:cstheme="minorHAnsi"/>
          <w:sz w:val="22"/>
          <w:szCs w:val="22"/>
        </w:rPr>
      </w:pPr>
      <w:r w:rsidRPr="008238A5">
        <w:rPr>
          <w:rFonts w:eastAsiaTheme="minorEastAsia" w:cstheme="minorHAnsi"/>
          <w:sz w:val="22"/>
          <w:szCs w:val="22"/>
        </w:rPr>
        <w:t xml:space="preserve">1-Hedeflerin Netliği ve İçeriğin İlgililiği ve içerik, ToR'da gerekli olan konularla uyumludur </w:t>
      </w:r>
    </w:p>
    <w:p w14:paraId="16993231" w14:textId="77777777" w:rsidR="006105DF" w:rsidRPr="008238A5" w:rsidRDefault="006105DF" w:rsidP="006105DF">
      <w:pPr>
        <w:jc w:val="both"/>
        <w:rPr>
          <w:rFonts w:eastAsiaTheme="minorEastAsia" w:cstheme="minorHAnsi"/>
          <w:sz w:val="22"/>
          <w:szCs w:val="22"/>
        </w:rPr>
      </w:pPr>
      <w:r w:rsidRPr="008238A5">
        <w:rPr>
          <w:rFonts w:eastAsiaTheme="minorEastAsia" w:cstheme="minorHAnsi"/>
          <w:sz w:val="22"/>
          <w:szCs w:val="22"/>
        </w:rPr>
        <w:t>2-Mantıksal Yapı ve Günlük Program (Günlük eğitim programı)</w:t>
      </w:r>
    </w:p>
    <w:p w14:paraId="0E2738F4" w14:textId="77777777" w:rsidR="006105DF" w:rsidRPr="008238A5" w:rsidRDefault="006105DF" w:rsidP="006105DF">
      <w:pPr>
        <w:spacing w:line="259" w:lineRule="auto"/>
        <w:jc w:val="both"/>
        <w:rPr>
          <w:rFonts w:eastAsiaTheme="minorEastAsia" w:cstheme="minorHAnsi"/>
          <w:sz w:val="22"/>
          <w:szCs w:val="22"/>
        </w:rPr>
      </w:pPr>
      <w:r w:rsidRPr="008238A5">
        <w:rPr>
          <w:rFonts w:eastAsiaTheme="minorEastAsia" w:cstheme="minorHAnsi"/>
          <w:sz w:val="22"/>
          <w:szCs w:val="22"/>
        </w:rPr>
        <w:t>3- Etkileşimli ve Pratik Öğeler (metodoloji, grup çalışması, tartışmalar, vaka çalışmaları veya pratik egzersizler gibi aktiviteleri içerir )</w:t>
      </w:r>
    </w:p>
    <w:p w14:paraId="1DB117ED" w14:textId="3CCC4B95" w:rsidR="006105DF" w:rsidRPr="008238A5" w:rsidRDefault="006105DF" w:rsidP="006105DF">
      <w:pPr>
        <w:jc w:val="both"/>
        <w:rPr>
          <w:rFonts w:eastAsiaTheme="minorEastAsia" w:cstheme="minorHAnsi"/>
          <w:sz w:val="22"/>
          <w:szCs w:val="22"/>
        </w:rPr>
      </w:pPr>
      <w:r w:rsidRPr="008238A5">
        <w:rPr>
          <w:rFonts w:eastAsiaTheme="minorEastAsia" w:cstheme="minorHAnsi"/>
          <w:sz w:val="22"/>
          <w:szCs w:val="22"/>
        </w:rPr>
        <w:t xml:space="preserve">4-İş Planının Entegrasyonu (İş planı eğitim günleri boyunca kademeli olarak geliştirilir) </w:t>
      </w:r>
    </w:p>
    <w:p w14:paraId="2DEF97BF" w14:textId="77777777" w:rsidR="006105DF" w:rsidRPr="008238A5" w:rsidRDefault="006105DF" w:rsidP="006105DF">
      <w:pPr>
        <w:jc w:val="both"/>
        <w:rPr>
          <w:rFonts w:eastAsiaTheme="minorEastAsia" w:cstheme="minorHAnsi"/>
          <w:sz w:val="22"/>
          <w:szCs w:val="22"/>
        </w:rPr>
      </w:pPr>
      <w:r w:rsidRPr="008238A5">
        <w:rPr>
          <w:rFonts w:eastAsiaTheme="minorEastAsia" w:cstheme="minorHAnsi"/>
          <w:sz w:val="22"/>
          <w:szCs w:val="22"/>
        </w:rPr>
        <w:t>5-Değerlendirme ve Dokümantasyon Araçlarının Kullanılabilirliği (ön/son testler veya dahil edilen veya açıklanan değerlendirme formları gibi araçlar)</w:t>
      </w:r>
    </w:p>
    <w:p w14:paraId="5B9D3A26" w14:textId="77777777" w:rsidR="006105DF" w:rsidRPr="008238A5" w:rsidRDefault="006105DF" w:rsidP="006105DF">
      <w:pPr>
        <w:jc w:val="both"/>
        <w:rPr>
          <w:rFonts w:eastAsiaTheme="minorEastAsia" w:cstheme="minorHAnsi"/>
          <w:sz w:val="22"/>
          <w:szCs w:val="22"/>
        </w:rPr>
      </w:pPr>
      <w:r w:rsidRPr="008238A5">
        <w:rPr>
          <w:rFonts w:eastAsiaTheme="minorEastAsia" w:cstheme="minorHAnsi"/>
          <w:sz w:val="22"/>
          <w:szCs w:val="22"/>
        </w:rPr>
        <w:t>Her kritere 5 puan (tamamen karşılandı) veya 0 puan (açık değil veya yetersiz) verilmelidir. Kısmi puanlara izin verilmez.</w:t>
      </w:r>
    </w:p>
    <w:p w14:paraId="39CCB3C0" w14:textId="77777777" w:rsidR="006105DF" w:rsidRPr="008238A5" w:rsidRDefault="006105DF" w:rsidP="006105DF">
      <w:pPr>
        <w:jc w:val="both"/>
        <w:rPr>
          <w:rFonts w:eastAsiaTheme="minorEastAsia" w:cstheme="minorHAnsi"/>
          <w:sz w:val="22"/>
          <w:szCs w:val="22"/>
        </w:rPr>
      </w:pPr>
      <w:r w:rsidRPr="008238A5">
        <w:rPr>
          <w:rFonts w:eastAsiaTheme="minorEastAsia" w:cstheme="minorHAnsi"/>
          <w:b/>
          <w:bCs/>
          <w:sz w:val="22"/>
          <w:szCs w:val="22"/>
        </w:rPr>
        <w:t>Teklifte gerekli kriterlerden herhangi biri kaçırılırsa teklif reddedilecektir.</w:t>
      </w:r>
      <w:r w:rsidRPr="008238A5">
        <w:rPr>
          <w:rFonts w:eastAsiaTheme="minorEastAsia" w:cstheme="minorHAnsi"/>
          <w:sz w:val="22"/>
          <w:szCs w:val="22"/>
        </w:rPr>
        <w:t xml:space="preserve"> </w:t>
      </w:r>
    </w:p>
    <w:p w14:paraId="7D188E75" w14:textId="77777777" w:rsidR="006105DF" w:rsidRPr="008238A5" w:rsidRDefault="006105DF" w:rsidP="006105DF">
      <w:pPr>
        <w:jc w:val="both"/>
        <w:rPr>
          <w:rFonts w:eastAsiaTheme="minorEastAsia" w:cstheme="minorHAnsi"/>
          <w:sz w:val="22"/>
          <w:szCs w:val="22"/>
        </w:rPr>
      </w:pPr>
    </w:p>
    <w:p w14:paraId="321E2A2C" w14:textId="77777777" w:rsidR="006105DF" w:rsidRPr="008238A5" w:rsidRDefault="006105DF" w:rsidP="006105DF">
      <w:pPr>
        <w:jc w:val="both"/>
        <w:rPr>
          <w:rFonts w:cstheme="minorHAnsi"/>
          <w:sz w:val="22"/>
          <w:szCs w:val="22"/>
        </w:rPr>
      </w:pPr>
      <w:r w:rsidRPr="008238A5">
        <w:rPr>
          <w:rFonts w:cstheme="minorHAnsi"/>
          <w:b/>
          <w:bCs/>
          <w:sz w:val="22"/>
          <w:szCs w:val="22"/>
        </w:rPr>
        <w:t xml:space="preserve">Finansal Teklif </w:t>
      </w:r>
      <w:r w:rsidRPr="008238A5">
        <w:rPr>
          <w:rFonts w:cstheme="minorHAnsi"/>
          <w:sz w:val="22"/>
          <w:szCs w:val="22"/>
        </w:rPr>
        <w:t>:</w:t>
      </w:r>
    </w:p>
    <w:p w14:paraId="4A44A3A3" w14:textId="77777777" w:rsidR="006105DF" w:rsidRPr="008238A5" w:rsidRDefault="006105DF" w:rsidP="006105DF">
      <w:pPr>
        <w:jc w:val="both"/>
        <w:rPr>
          <w:rFonts w:cstheme="minorHAnsi"/>
          <w:sz w:val="22"/>
          <w:szCs w:val="22"/>
          <w:rtl/>
        </w:rPr>
      </w:pPr>
      <w:r w:rsidRPr="008238A5">
        <w:rPr>
          <w:rFonts w:cstheme="minorHAnsi"/>
          <w:sz w:val="22"/>
          <w:szCs w:val="22"/>
        </w:rPr>
        <w:t xml:space="preserve">SARD'ı aşan herhangi bir finansal teklif sunuldu </w:t>
      </w:r>
      <w:r w:rsidRPr="008238A5">
        <w:rPr>
          <w:rFonts w:cstheme="minorHAnsi"/>
          <w:sz w:val="22"/>
          <w:szCs w:val="22"/>
          <w:lang w:val="tr-TR"/>
        </w:rPr>
        <w:t xml:space="preserve">ve İHH'nın </w:t>
      </w:r>
      <w:r w:rsidRPr="008238A5">
        <w:rPr>
          <w:rFonts w:cstheme="minorHAnsi"/>
          <w:sz w:val="22"/>
          <w:szCs w:val="22"/>
        </w:rPr>
        <w:t>mevcut bütçesi otomatik olarak reddedilecektir.</w:t>
      </w:r>
    </w:p>
    <w:p w14:paraId="46469342" w14:textId="77777777" w:rsidR="006105DF" w:rsidRPr="008238A5" w:rsidRDefault="006105DF" w:rsidP="006105DF">
      <w:pPr>
        <w:jc w:val="both"/>
        <w:rPr>
          <w:rFonts w:eastAsiaTheme="minorEastAsia" w:cstheme="minorHAnsi"/>
          <w:sz w:val="22"/>
          <w:szCs w:val="22"/>
          <w:u w:val="single"/>
        </w:rPr>
      </w:pPr>
    </w:p>
    <w:p w14:paraId="1C8C2C29" w14:textId="77777777" w:rsidR="006105DF" w:rsidRPr="008238A5" w:rsidRDefault="006105DF" w:rsidP="006105DF">
      <w:pPr>
        <w:jc w:val="both"/>
        <w:rPr>
          <w:rFonts w:cstheme="minorHAnsi"/>
          <w:sz w:val="22"/>
          <w:szCs w:val="22"/>
        </w:rPr>
      </w:pPr>
    </w:p>
    <w:p w14:paraId="4886EAEC" w14:textId="77777777" w:rsidR="006105DF" w:rsidRPr="008238A5" w:rsidRDefault="006105DF" w:rsidP="006105DF">
      <w:pPr>
        <w:jc w:val="both"/>
        <w:rPr>
          <w:rFonts w:cstheme="minorHAnsi"/>
          <w:b/>
          <w:bCs/>
          <w:sz w:val="22"/>
          <w:szCs w:val="22"/>
        </w:rPr>
      </w:pPr>
      <w:r w:rsidRPr="008238A5">
        <w:rPr>
          <w:rFonts w:cstheme="minorHAnsi"/>
          <w:b/>
          <w:bCs/>
          <w:sz w:val="22"/>
          <w:szCs w:val="22"/>
        </w:rPr>
        <w:t>6. Hariç Tutma Kriterleri</w:t>
      </w:r>
    </w:p>
    <w:p w14:paraId="7AEF4B41" w14:textId="77777777" w:rsidR="006105DF" w:rsidRPr="008238A5" w:rsidRDefault="006105DF" w:rsidP="006105DF">
      <w:pPr>
        <w:jc w:val="both"/>
        <w:rPr>
          <w:rFonts w:cstheme="minorHAnsi"/>
          <w:sz w:val="22"/>
          <w:szCs w:val="22"/>
        </w:rPr>
      </w:pPr>
      <w:r w:rsidRPr="008238A5">
        <w:rPr>
          <w:rFonts w:cstheme="minorHAnsi"/>
          <w:sz w:val="22"/>
          <w:szCs w:val="22"/>
        </w:rPr>
        <w:t>- Son başvuru tarihinden sonra gelen teklifler değerlendirmeye alınmayacaktır.</w:t>
      </w:r>
    </w:p>
    <w:p w14:paraId="4926EF8E" w14:textId="77777777" w:rsidR="006105DF" w:rsidRPr="008238A5" w:rsidRDefault="006105DF" w:rsidP="006105DF">
      <w:pPr>
        <w:jc w:val="both"/>
        <w:rPr>
          <w:rFonts w:cstheme="minorHAnsi"/>
          <w:sz w:val="22"/>
          <w:szCs w:val="22"/>
        </w:rPr>
      </w:pPr>
      <w:r w:rsidRPr="008238A5">
        <w:rPr>
          <w:rFonts w:cstheme="minorHAnsi"/>
          <w:sz w:val="22"/>
          <w:szCs w:val="22"/>
        </w:rPr>
        <w:t>- Net olmayan her türlü finansal teklif reddedilecektir.</w:t>
      </w:r>
    </w:p>
    <w:p w14:paraId="75C0E6A3" w14:textId="77777777" w:rsidR="006105DF" w:rsidRPr="008238A5" w:rsidRDefault="006105DF" w:rsidP="006105DF">
      <w:pPr>
        <w:jc w:val="both"/>
        <w:rPr>
          <w:rFonts w:cstheme="minorHAnsi"/>
          <w:sz w:val="22"/>
          <w:szCs w:val="22"/>
        </w:rPr>
      </w:pPr>
      <w:r w:rsidRPr="008238A5">
        <w:rPr>
          <w:rFonts w:cstheme="minorHAnsi"/>
          <w:sz w:val="22"/>
          <w:szCs w:val="22"/>
        </w:rPr>
        <w:t>- 25 üzerinden 15'in altında olan deneyim ve referans puanları reddedilecektir.</w:t>
      </w:r>
    </w:p>
    <w:p w14:paraId="045CE312" w14:textId="77777777" w:rsidR="006105DF" w:rsidRPr="008238A5" w:rsidRDefault="006105DF" w:rsidP="006105DF">
      <w:pPr>
        <w:jc w:val="both"/>
        <w:rPr>
          <w:rFonts w:cstheme="minorHAnsi"/>
          <w:sz w:val="22"/>
          <w:szCs w:val="22"/>
          <w:rtl/>
        </w:rPr>
      </w:pPr>
      <w:r w:rsidRPr="008238A5">
        <w:rPr>
          <w:rFonts w:cstheme="minorHAnsi"/>
          <w:sz w:val="22"/>
          <w:szCs w:val="22"/>
        </w:rPr>
        <w:t>- Talep edilen teslimatları talep edilen zaman dilimi içerisinde içermeyen teklifler reddedilecektir.</w:t>
      </w:r>
    </w:p>
    <w:p w14:paraId="7A7FD3B8" w14:textId="5D3931B5" w:rsidR="006105DF" w:rsidRPr="008238A5" w:rsidRDefault="00225388" w:rsidP="006105DF">
      <w:pPr>
        <w:jc w:val="both"/>
        <w:rPr>
          <w:rFonts w:cstheme="minorHAnsi"/>
          <w:sz w:val="22"/>
          <w:szCs w:val="22"/>
          <w:rtl/>
        </w:rPr>
      </w:pPr>
      <w:r>
        <w:rPr>
          <w:rFonts w:cstheme="minorHAnsi"/>
          <w:sz w:val="22"/>
          <w:szCs w:val="22"/>
          <w:lang w:val="tr-TR"/>
        </w:rPr>
        <w:t xml:space="preserve">- SARD </w:t>
      </w:r>
      <w:r w:rsidR="006105DF" w:rsidRPr="008238A5">
        <w:rPr>
          <w:rFonts w:cstheme="minorHAnsi"/>
          <w:sz w:val="22"/>
          <w:szCs w:val="22"/>
          <w:lang w:val="tr-TR"/>
        </w:rPr>
        <w:t xml:space="preserve">ve İHH'nin mevcut bütçesinden </w:t>
      </w:r>
      <w:r w:rsidR="006105DF" w:rsidRPr="008238A5">
        <w:rPr>
          <w:rFonts w:cstheme="minorHAnsi"/>
          <w:sz w:val="22"/>
          <w:szCs w:val="22"/>
        </w:rPr>
        <w:t>daha yüksek herhangi bir finansal teklif sunulması durumunda teklifler otomatik olarak reddedilecektir.</w:t>
      </w:r>
    </w:p>
    <w:p w14:paraId="14EA442A" w14:textId="77777777" w:rsidR="006105DF" w:rsidRPr="008238A5" w:rsidRDefault="006105DF" w:rsidP="006105DF">
      <w:pPr>
        <w:jc w:val="both"/>
        <w:rPr>
          <w:rFonts w:cstheme="minorHAnsi"/>
          <w:sz w:val="22"/>
          <w:szCs w:val="22"/>
        </w:rPr>
      </w:pPr>
      <w:r w:rsidRPr="008238A5">
        <w:rPr>
          <w:rFonts w:cstheme="minorHAnsi"/>
          <w:sz w:val="22"/>
          <w:szCs w:val="22"/>
        </w:rPr>
        <w:t>-Eğitimi sadece bir şehirde ( Adıyaman veya Hatay ) uygulamak için teklif sunan şirketler değerlendirmeden çıkarılacaktır. Sadece her iki şehri de kapsayan teklifler uygun kabul edilecektir.</w:t>
      </w:r>
    </w:p>
    <w:p w14:paraId="7A45BEB8" w14:textId="77777777" w:rsidR="006105DF" w:rsidRPr="008238A5" w:rsidRDefault="006105DF" w:rsidP="006105DF">
      <w:pPr>
        <w:jc w:val="both"/>
        <w:rPr>
          <w:rFonts w:cstheme="minorHAnsi"/>
          <w:sz w:val="22"/>
          <w:szCs w:val="22"/>
        </w:rPr>
      </w:pPr>
      <w:r w:rsidRPr="008238A5">
        <w:rPr>
          <w:rFonts w:eastAsia="Calibri" w:cstheme="minorHAnsi"/>
          <w:sz w:val="22"/>
          <w:szCs w:val="22"/>
        </w:rPr>
        <w:t>- Değerlendirmeden sonra SARD, müfredatı SARD'ın gereksinimlerine göre değiştirmek için seçilen şirketle iletişime geçecektir (gerekirse). Şirket buna göre değiştiremezse, teklif reddedilecek ve SARD bir sonraki nitelikli şirketle devam edecektir.</w:t>
      </w:r>
    </w:p>
    <w:p w14:paraId="60B29346" w14:textId="77777777" w:rsidR="006105DF" w:rsidRPr="008238A5" w:rsidRDefault="006105DF" w:rsidP="006105DF">
      <w:pPr>
        <w:jc w:val="both"/>
        <w:rPr>
          <w:rFonts w:cstheme="minorHAnsi"/>
          <w:sz w:val="22"/>
          <w:szCs w:val="22"/>
        </w:rPr>
      </w:pPr>
    </w:p>
    <w:p w14:paraId="3DC8DD24" w14:textId="77777777" w:rsidR="006105DF" w:rsidRPr="008238A5" w:rsidRDefault="006105DF" w:rsidP="006105DF">
      <w:pPr>
        <w:jc w:val="both"/>
        <w:rPr>
          <w:rFonts w:cstheme="minorHAnsi"/>
          <w:sz w:val="22"/>
          <w:szCs w:val="22"/>
        </w:rPr>
      </w:pPr>
    </w:p>
    <w:p w14:paraId="5DD87974" w14:textId="77777777" w:rsidR="006105DF" w:rsidRPr="008238A5" w:rsidRDefault="006105DF" w:rsidP="006105DF">
      <w:pPr>
        <w:jc w:val="both"/>
        <w:rPr>
          <w:rFonts w:cstheme="minorHAnsi"/>
          <w:sz w:val="22"/>
          <w:szCs w:val="22"/>
        </w:rPr>
      </w:pPr>
    </w:p>
    <w:p w14:paraId="54B84D00" w14:textId="77777777" w:rsidR="006105DF" w:rsidRPr="008238A5" w:rsidRDefault="006105DF" w:rsidP="006105DF">
      <w:pPr>
        <w:jc w:val="both"/>
        <w:rPr>
          <w:rFonts w:cstheme="minorHAnsi"/>
          <w:b/>
          <w:bCs/>
          <w:sz w:val="22"/>
          <w:szCs w:val="22"/>
        </w:rPr>
      </w:pPr>
      <w:r w:rsidRPr="008238A5">
        <w:rPr>
          <w:rFonts w:cstheme="minorHAnsi"/>
          <w:b/>
          <w:bCs/>
          <w:sz w:val="22"/>
          <w:szCs w:val="22"/>
        </w:rPr>
        <w:t>7. Zaman Çizelgesi</w:t>
      </w:r>
    </w:p>
    <w:p w14:paraId="3D6EEE7D" w14:textId="77777777" w:rsidR="006105DF" w:rsidRPr="008238A5" w:rsidRDefault="006105DF" w:rsidP="006105DF">
      <w:pPr>
        <w:jc w:val="both"/>
        <w:rPr>
          <w:rFonts w:cstheme="minorHAnsi"/>
          <w:sz w:val="22"/>
          <w:szCs w:val="22"/>
        </w:rPr>
      </w:pPr>
      <w:r>
        <w:rPr>
          <w:rFonts w:cstheme="minorHAnsi"/>
          <w:color w:val="FF0000"/>
          <w:sz w:val="22"/>
          <w:szCs w:val="22"/>
        </w:rPr>
        <w:t xml:space="preserve">Haziran sonu/Temmuz 2025'in ilk haftasında </w:t>
      </w:r>
      <w:r w:rsidRPr="008238A5">
        <w:rPr>
          <w:rFonts w:cstheme="minorHAnsi"/>
          <w:sz w:val="22"/>
          <w:szCs w:val="22"/>
        </w:rPr>
        <w:t>başlaması bekleniyor ve 1 veya 2 hafta boyunca uygulanacak. Her eğitim günü kısa bir ara dahil 5 günden oluşacak.</w:t>
      </w:r>
    </w:p>
    <w:p w14:paraId="63C0040E" w14:textId="77777777" w:rsidR="006105DF" w:rsidRPr="008238A5" w:rsidRDefault="006105DF" w:rsidP="006105DF">
      <w:pPr>
        <w:jc w:val="both"/>
        <w:rPr>
          <w:rFonts w:cstheme="minorHAnsi"/>
          <w:sz w:val="22"/>
          <w:szCs w:val="22"/>
          <w:rtl/>
        </w:rPr>
      </w:pPr>
    </w:p>
    <w:p w14:paraId="7513C293" w14:textId="77777777" w:rsidR="00C571DA" w:rsidRDefault="00C571DA"/>
    <w:sectPr w:rsidR="00C571DA" w:rsidSect="00774400">
      <w:headerReference w:type="default" r:id="rId8"/>
      <w:foot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DBDA0" w14:textId="77777777" w:rsidR="00A04B7D" w:rsidRDefault="00A04B7D" w:rsidP="006105DF">
      <w:r>
        <w:separator/>
      </w:r>
    </w:p>
  </w:endnote>
  <w:endnote w:type="continuationSeparator" w:id="0">
    <w:p w14:paraId="4819AC78" w14:textId="77777777" w:rsidR="00A04B7D" w:rsidRDefault="00A04B7D" w:rsidP="0061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6062" w14:textId="48FB4BFC" w:rsidR="00C571DA" w:rsidRDefault="00F229F1" w:rsidP="00850FC8">
    <w:pPr>
      <w:pStyle w:val="Footer"/>
      <w:jc w:val="center"/>
    </w:pPr>
    <w:r>
      <w:rPr>
        <w:noProof/>
      </w:rPr>
      <w:drawing>
        <wp:anchor distT="0" distB="0" distL="114300" distR="114300" simplePos="0" relativeHeight="251661312" behindDoc="1" locked="0" layoutInCell="1" allowOverlap="1" wp14:anchorId="6B9EE5AD" wp14:editId="49DE039A">
          <wp:simplePos x="0" y="0"/>
          <wp:positionH relativeFrom="margin">
            <wp:posOffset>0</wp:posOffset>
          </wp:positionH>
          <wp:positionV relativeFrom="paragraph">
            <wp:posOffset>0</wp:posOffset>
          </wp:positionV>
          <wp:extent cx="5943600" cy="5403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neral Letter 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403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342E4" w14:textId="77777777" w:rsidR="00A04B7D" w:rsidRDefault="00A04B7D" w:rsidP="006105DF">
      <w:r>
        <w:separator/>
      </w:r>
    </w:p>
  </w:footnote>
  <w:footnote w:type="continuationSeparator" w:id="0">
    <w:p w14:paraId="34E0AE8A" w14:textId="77777777" w:rsidR="00A04B7D" w:rsidRDefault="00A04B7D" w:rsidP="00610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C091" w14:textId="66E42C46" w:rsidR="00F229F1" w:rsidRDefault="00F229F1">
    <w:pPr>
      <w:pStyle w:val="Header"/>
    </w:pPr>
    <w:r>
      <w:rPr>
        <w:noProof/>
      </w:rPr>
      <w:drawing>
        <wp:anchor distT="0" distB="0" distL="114300" distR="114300" simplePos="0" relativeHeight="251659264" behindDoc="1" locked="0" layoutInCell="1" allowOverlap="1" wp14:anchorId="5A837330" wp14:editId="7FE6D8A4">
          <wp:simplePos x="0" y="0"/>
          <wp:positionH relativeFrom="page">
            <wp:posOffset>914400</wp:posOffset>
          </wp:positionH>
          <wp:positionV relativeFrom="paragraph">
            <wp:posOffset>0</wp:posOffset>
          </wp:positionV>
          <wp:extent cx="6762221" cy="6148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221" cy="6148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DFA8"/>
    <w:multiLevelType w:val="hybridMultilevel"/>
    <w:tmpl w:val="CFD6E6EC"/>
    <w:lvl w:ilvl="0" w:tplc="77A68BF4">
      <w:start w:val="1"/>
      <w:numFmt w:val="bullet"/>
      <w:lvlText w:val=""/>
      <w:lvlJc w:val="left"/>
      <w:pPr>
        <w:ind w:left="720" w:hanging="360"/>
      </w:pPr>
      <w:rPr>
        <w:rFonts w:ascii="Symbol" w:hAnsi="Symbol" w:hint="default"/>
      </w:rPr>
    </w:lvl>
    <w:lvl w:ilvl="1" w:tplc="9944521C">
      <w:start w:val="1"/>
      <w:numFmt w:val="bullet"/>
      <w:lvlText w:val="o"/>
      <w:lvlJc w:val="left"/>
      <w:pPr>
        <w:ind w:left="1440" w:hanging="360"/>
      </w:pPr>
      <w:rPr>
        <w:rFonts w:ascii="Courier New" w:hAnsi="Courier New" w:hint="default"/>
      </w:rPr>
    </w:lvl>
    <w:lvl w:ilvl="2" w:tplc="6678957E">
      <w:start w:val="1"/>
      <w:numFmt w:val="bullet"/>
      <w:lvlText w:val=""/>
      <w:lvlJc w:val="left"/>
      <w:pPr>
        <w:ind w:left="2160" w:hanging="360"/>
      </w:pPr>
      <w:rPr>
        <w:rFonts w:ascii="Wingdings" w:hAnsi="Wingdings" w:hint="default"/>
      </w:rPr>
    </w:lvl>
    <w:lvl w:ilvl="3" w:tplc="6D469D5A">
      <w:start w:val="1"/>
      <w:numFmt w:val="bullet"/>
      <w:lvlText w:val=""/>
      <w:lvlJc w:val="left"/>
      <w:pPr>
        <w:ind w:left="2880" w:hanging="360"/>
      </w:pPr>
      <w:rPr>
        <w:rFonts w:ascii="Symbol" w:hAnsi="Symbol" w:hint="default"/>
      </w:rPr>
    </w:lvl>
    <w:lvl w:ilvl="4" w:tplc="EF20376E">
      <w:start w:val="1"/>
      <w:numFmt w:val="bullet"/>
      <w:lvlText w:val="o"/>
      <w:lvlJc w:val="left"/>
      <w:pPr>
        <w:ind w:left="3600" w:hanging="360"/>
      </w:pPr>
      <w:rPr>
        <w:rFonts w:ascii="Courier New" w:hAnsi="Courier New" w:hint="default"/>
      </w:rPr>
    </w:lvl>
    <w:lvl w:ilvl="5" w:tplc="D1BE140A">
      <w:start w:val="1"/>
      <w:numFmt w:val="bullet"/>
      <w:lvlText w:val=""/>
      <w:lvlJc w:val="left"/>
      <w:pPr>
        <w:ind w:left="4320" w:hanging="360"/>
      </w:pPr>
      <w:rPr>
        <w:rFonts w:ascii="Wingdings" w:hAnsi="Wingdings" w:hint="default"/>
      </w:rPr>
    </w:lvl>
    <w:lvl w:ilvl="6" w:tplc="3C447AD8">
      <w:start w:val="1"/>
      <w:numFmt w:val="bullet"/>
      <w:lvlText w:val=""/>
      <w:lvlJc w:val="left"/>
      <w:pPr>
        <w:ind w:left="5040" w:hanging="360"/>
      </w:pPr>
      <w:rPr>
        <w:rFonts w:ascii="Symbol" w:hAnsi="Symbol" w:hint="default"/>
      </w:rPr>
    </w:lvl>
    <w:lvl w:ilvl="7" w:tplc="19AC5958">
      <w:start w:val="1"/>
      <w:numFmt w:val="bullet"/>
      <w:lvlText w:val="o"/>
      <w:lvlJc w:val="left"/>
      <w:pPr>
        <w:ind w:left="5760" w:hanging="360"/>
      </w:pPr>
      <w:rPr>
        <w:rFonts w:ascii="Courier New" w:hAnsi="Courier New" w:hint="default"/>
      </w:rPr>
    </w:lvl>
    <w:lvl w:ilvl="8" w:tplc="1BFAB898">
      <w:start w:val="1"/>
      <w:numFmt w:val="bullet"/>
      <w:lvlText w:val=""/>
      <w:lvlJc w:val="left"/>
      <w:pPr>
        <w:ind w:left="6480" w:hanging="360"/>
      </w:pPr>
      <w:rPr>
        <w:rFonts w:ascii="Wingdings" w:hAnsi="Wingdings" w:hint="default"/>
      </w:rPr>
    </w:lvl>
  </w:abstractNum>
  <w:abstractNum w:abstractNumId="1" w15:restartNumberingAfterBreak="0">
    <w:nsid w:val="03EAC749"/>
    <w:multiLevelType w:val="hybridMultilevel"/>
    <w:tmpl w:val="5ABAEE2E"/>
    <w:lvl w:ilvl="0" w:tplc="EB1C5914">
      <w:start w:val="1"/>
      <w:numFmt w:val="bullet"/>
      <w:lvlText w:val=""/>
      <w:lvlJc w:val="left"/>
      <w:pPr>
        <w:ind w:left="720" w:hanging="360"/>
      </w:pPr>
      <w:rPr>
        <w:rFonts w:ascii="Symbol" w:hAnsi="Symbol" w:hint="default"/>
      </w:rPr>
    </w:lvl>
    <w:lvl w:ilvl="1" w:tplc="BC886888">
      <w:start w:val="1"/>
      <w:numFmt w:val="bullet"/>
      <w:lvlText w:val="o"/>
      <w:lvlJc w:val="left"/>
      <w:pPr>
        <w:ind w:left="1440" w:hanging="360"/>
      </w:pPr>
      <w:rPr>
        <w:rFonts w:ascii="Courier New" w:hAnsi="Courier New" w:hint="default"/>
      </w:rPr>
    </w:lvl>
    <w:lvl w:ilvl="2" w:tplc="AC9091C2">
      <w:start w:val="1"/>
      <w:numFmt w:val="bullet"/>
      <w:lvlText w:val=""/>
      <w:lvlJc w:val="left"/>
      <w:pPr>
        <w:ind w:left="2160" w:hanging="360"/>
      </w:pPr>
      <w:rPr>
        <w:rFonts w:ascii="Wingdings" w:hAnsi="Wingdings" w:hint="default"/>
      </w:rPr>
    </w:lvl>
    <w:lvl w:ilvl="3" w:tplc="4FCEEB2A">
      <w:start w:val="1"/>
      <w:numFmt w:val="bullet"/>
      <w:lvlText w:val=""/>
      <w:lvlJc w:val="left"/>
      <w:pPr>
        <w:ind w:left="2880" w:hanging="360"/>
      </w:pPr>
      <w:rPr>
        <w:rFonts w:ascii="Symbol" w:hAnsi="Symbol" w:hint="default"/>
      </w:rPr>
    </w:lvl>
    <w:lvl w:ilvl="4" w:tplc="6A7A562E">
      <w:start w:val="1"/>
      <w:numFmt w:val="bullet"/>
      <w:lvlText w:val="o"/>
      <w:lvlJc w:val="left"/>
      <w:pPr>
        <w:ind w:left="3600" w:hanging="360"/>
      </w:pPr>
      <w:rPr>
        <w:rFonts w:ascii="Courier New" w:hAnsi="Courier New" w:hint="default"/>
      </w:rPr>
    </w:lvl>
    <w:lvl w:ilvl="5" w:tplc="AA563D68">
      <w:start w:val="1"/>
      <w:numFmt w:val="bullet"/>
      <w:lvlText w:val=""/>
      <w:lvlJc w:val="left"/>
      <w:pPr>
        <w:ind w:left="4320" w:hanging="360"/>
      </w:pPr>
      <w:rPr>
        <w:rFonts w:ascii="Wingdings" w:hAnsi="Wingdings" w:hint="default"/>
      </w:rPr>
    </w:lvl>
    <w:lvl w:ilvl="6" w:tplc="4330F106">
      <w:start w:val="1"/>
      <w:numFmt w:val="bullet"/>
      <w:lvlText w:val=""/>
      <w:lvlJc w:val="left"/>
      <w:pPr>
        <w:ind w:left="5040" w:hanging="360"/>
      </w:pPr>
      <w:rPr>
        <w:rFonts w:ascii="Symbol" w:hAnsi="Symbol" w:hint="default"/>
      </w:rPr>
    </w:lvl>
    <w:lvl w:ilvl="7" w:tplc="F23CAB0C">
      <w:start w:val="1"/>
      <w:numFmt w:val="bullet"/>
      <w:lvlText w:val="o"/>
      <w:lvlJc w:val="left"/>
      <w:pPr>
        <w:ind w:left="5760" w:hanging="360"/>
      </w:pPr>
      <w:rPr>
        <w:rFonts w:ascii="Courier New" w:hAnsi="Courier New" w:hint="default"/>
      </w:rPr>
    </w:lvl>
    <w:lvl w:ilvl="8" w:tplc="6BBEF858">
      <w:start w:val="1"/>
      <w:numFmt w:val="bullet"/>
      <w:lvlText w:val=""/>
      <w:lvlJc w:val="left"/>
      <w:pPr>
        <w:ind w:left="6480" w:hanging="360"/>
      </w:pPr>
      <w:rPr>
        <w:rFonts w:ascii="Wingdings" w:hAnsi="Wingdings" w:hint="default"/>
      </w:rPr>
    </w:lvl>
  </w:abstractNum>
  <w:abstractNum w:abstractNumId="2" w15:restartNumberingAfterBreak="0">
    <w:nsid w:val="3667FD96"/>
    <w:multiLevelType w:val="hybridMultilevel"/>
    <w:tmpl w:val="146CE0D0"/>
    <w:lvl w:ilvl="0" w:tplc="4E743384">
      <w:start w:val="1"/>
      <w:numFmt w:val="bullet"/>
      <w:lvlText w:val=""/>
      <w:lvlJc w:val="left"/>
      <w:pPr>
        <w:ind w:left="720" w:hanging="360"/>
      </w:pPr>
      <w:rPr>
        <w:rFonts w:ascii="Symbol" w:hAnsi="Symbol" w:hint="default"/>
      </w:rPr>
    </w:lvl>
    <w:lvl w:ilvl="1" w:tplc="999A3EF2">
      <w:start w:val="1"/>
      <w:numFmt w:val="bullet"/>
      <w:lvlText w:val="o"/>
      <w:lvlJc w:val="left"/>
      <w:pPr>
        <w:ind w:left="1440" w:hanging="360"/>
      </w:pPr>
      <w:rPr>
        <w:rFonts w:ascii="Courier New" w:hAnsi="Courier New" w:hint="default"/>
      </w:rPr>
    </w:lvl>
    <w:lvl w:ilvl="2" w:tplc="5D0E7282">
      <w:start w:val="1"/>
      <w:numFmt w:val="bullet"/>
      <w:lvlText w:val=""/>
      <w:lvlJc w:val="left"/>
      <w:pPr>
        <w:ind w:left="2160" w:hanging="360"/>
      </w:pPr>
      <w:rPr>
        <w:rFonts w:ascii="Wingdings" w:hAnsi="Wingdings" w:hint="default"/>
      </w:rPr>
    </w:lvl>
    <w:lvl w:ilvl="3" w:tplc="47A84B92">
      <w:start w:val="1"/>
      <w:numFmt w:val="bullet"/>
      <w:lvlText w:val=""/>
      <w:lvlJc w:val="left"/>
      <w:pPr>
        <w:ind w:left="2880" w:hanging="360"/>
      </w:pPr>
      <w:rPr>
        <w:rFonts w:ascii="Symbol" w:hAnsi="Symbol" w:hint="default"/>
      </w:rPr>
    </w:lvl>
    <w:lvl w:ilvl="4" w:tplc="B830BACE">
      <w:start w:val="1"/>
      <w:numFmt w:val="bullet"/>
      <w:lvlText w:val="o"/>
      <w:lvlJc w:val="left"/>
      <w:pPr>
        <w:ind w:left="3600" w:hanging="360"/>
      </w:pPr>
      <w:rPr>
        <w:rFonts w:ascii="Courier New" w:hAnsi="Courier New" w:hint="default"/>
      </w:rPr>
    </w:lvl>
    <w:lvl w:ilvl="5" w:tplc="F1A03E00">
      <w:start w:val="1"/>
      <w:numFmt w:val="bullet"/>
      <w:lvlText w:val=""/>
      <w:lvlJc w:val="left"/>
      <w:pPr>
        <w:ind w:left="4320" w:hanging="360"/>
      </w:pPr>
      <w:rPr>
        <w:rFonts w:ascii="Wingdings" w:hAnsi="Wingdings" w:hint="default"/>
      </w:rPr>
    </w:lvl>
    <w:lvl w:ilvl="6" w:tplc="D5166710">
      <w:start w:val="1"/>
      <w:numFmt w:val="bullet"/>
      <w:lvlText w:val=""/>
      <w:lvlJc w:val="left"/>
      <w:pPr>
        <w:ind w:left="5040" w:hanging="360"/>
      </w:pPr>
      <w:rPr>
        <w:rFonts w:ascii="Symbol" w:hAnsi="Symbol" w:hint="default"/>
      </w:rPr>
    </w:lvl>
    <w:lvl w:ilvl="7" w:tplc="39A24B94">
      <w:start w:val="1"/>
      <w:numFmt w:val="bullet"/>
      <w:lvlText w:val="o"/>
      <w:lvlJc w:val="left"/>
      <w:pPr>
        <w:ind w:left="5760" w:hanging="360"/>
      </w:pPr>
      <w:rPr>
        <w:rFonts w:ascii="Courier New" w:hAnsi="Courier New" w:hint="default"/>
      </w:rPr>
    </w:lvl>
    <w:lvl w:ilvl="8" w:tplc="BF9E85E6">
      <w:start w:val="1"/>
      <w:numFmt w:val="bullet"/>
      <w:lvlText w:val=""/>
      <w:lvlJc w:val="left"/>
      <w:pPr>
        <w:ind w:left="6480" w:hanging="360"/>
      </w:pPr>
      <w:rPr>
        <w:rFonts w:ascii="Wingdings" w:hAnsi="Wingdings" w:hint="default"/>
      </w:rPr>
    </w:lvl>
  </w:abstractNum>
  <w:abstractNum w:abstractNumId="3" w15:restartNumberingAfterBreak="0">
    <w:nsid w:val="45A33FD6"/>
    <w:multiLevelType w:val="hybridMultilevel"/>
    <w:tmpl w:val="0F047160"/>
    <w:lvl w:ilvl="0" w:tplc="D2CA05EA">
      <w:start w:val="1"/>
      <w:numFmt w:val="decimal"/>
      <w:lvlText w:val="%1."/>
      <w:lvlJc w:val="left"/>
      <w:pPr>
        <w:ind w:left="1080" w:hanging="360"/>
      </w:pPr>
    </w:lvl>
    <w:lvl w:ilvl="1" w:tplc="201C56DE">
      <w:start w:val="1"/>
      <w:numFmt w:val="lowerLetter"/>
      <w:lvlText w:val="%2."/>
      <w:lvlJc w:val="left"/>
      <w:pPr>
        <w:ind w:left="1800" w:hanging="360"/>
      </w:pPr>
    </w:lvl>
    <w:lvl w:ilvl="2" w:tplc="D966A708">
      <w:start w:val="1"/>
      <w:numFmt w:val="lowerRoman"/>
      <w:lvlText w:val="%3."/>
      <w:lvlJc w:val="right"/>
      <w:pPr>
        <w:ind w:left="2520" w:hanging="180"/>
      </w:pPr>
    </w:lvl>
    <w:lvl w:ilvl="3" w:tplc="6F3A7016">
      <w:start w:val="1"/>
      <w:numFmt w:val="decimal"/>
      <w:lvlText w:val="%4."/>
      <w:lvlJc w:val="left"/>
      <w:pPr>
        <w:ind w:left="3240" w:hanging="360"/>
      </w:pPr>
    </w:lvl>
    <w:lvl w:ilvl="4" w:tplc="66288D46">
      <w:start w:val="1"/>
      <w:numFmt w:val="lowerLetter"/>
      <w:lvlText w:val="%5."/>
      <w:lvlJc w:val="left"/>
      <w:pPr>
        <w:ind w:left="3960" w:hanging="360"/>
      </w:pPr>
    </w:lvl>
    <w:lvl w:ilvl="5" w:tplc="1E784DCC">
      <w:start w:val="1"/>
      <w:numFmt w:val="lowerRoman"/>
      <w:lvlText w:val="%6."/>
      <w:lvlJc w:val="right"/>
      <w:pPr>
        <w:ind w:left="4680" w:hanging="180"/>
      </w:pPr>
    </w:lvl>
    <w:lvl w:ilvl="6" w:tplc="DACEC516">
      <w:start w:val="1"/>
      <w:numFmt w:val="decimal"/>
      <w:lvlText w:val="%7."/>
      <w:lvlJc w:val="left"/>
      <w:pPr>
        <w:ind w:left="5400" w:hanging="360"/>
      </w:pPr>
    </w:lvl>
    <w:lvl w:ilvl="7" w:tplc="92C63662">
      <w:start w:val="1"/>
      <w:numFmt w:val="lowerLetter"/>
      <w:lvlText w:val="%8."/>
      <w:lvlJc w:val="left"/>
      <w:pPr>
        <w:ind w:left="6120" w:hanging="360"/>
      </w:pPr>
    </w:lvl>
    <w:lvl w:ilvl="8" w:tplc="D0526D3E">
      <w:start w:val="1"/>
      <w:numFmt w:val="lowerRoman"/>
      <w:lvlText w:val="%9."/>
      <w:lvlJc w:val="right"/>
      <w:pPr>
        <w:ind w:left="6840" w:hanging="180"/>
      </w:pPr>
    </w:lvl>
  </w:abstractNum>
  <w:abstractNum w:abstractNumId="4" w15:restartNumberingAfterBreak="0">
    <w:nsid w:val="6A19B7A7"/>
    <w:multiLevelType w:val="hybridMultilevel"/>
    <w:tmpl w:val="0792E024"/>
    <w:lvl w:ilvl="0" w:tplc="6E288CA2">
      <w:start w:val="1"/>
      <w:numFmt w:val="bullet"/>
      <w:lvlText w:val=""/>
      <w:lvlJc w:val="left"/>
      <w:pPr>
        <w:ind w:left="720" w:hanging="360"/>
      </w:pPr>
      <w:rPr>
        <w:rFonts w:ascii="Symbol" w:hAnsi="Symbol" w:hint="default"/>
      </w:rPr>
    </w:lvl>
    <w:lvl w:ilvl="1" w:tplc="BD76D81E">
      <w:start w:val="1"/>
      <w:numFmt w:val="bullet"/>
      <w:lvlText w:val="o"/>
      <w:lvlJc w:val="left"/>
      <w:pPr>
        <w:ind w:left="1440" w:hanging="360"/>
      </w:pPr>
      <w:rPr>
        <w:rFonts w:ascii="Courier New" w:hAnsi="Courier New" w:hint="default"/>
      </w:rPr>
    </w:lvl>
    <w:lvl w:ilvl="2" w:tplc="8474FD50">
      <w:start w:val="1"/>
      <w:numFmt w:val="bullet"/>
      <w:lvlText w:val=""/>
      <w:lvlJc w:val="left"/>
      <w:pPr>
        <w:ind w:left="2160" w:hanging="360"/>
      </w:pPr>
      <w:rPr>
        <w:rFonts w:ascii="Wingdings" w:hAnsi="Wingdings" w:hint="default"/>
      </w:rPr>
    </w:lvl>
    <w:lvl w:ilvl="3" w:tplc="749637D2">
      <w:start w:val="1"/>
      <w:numFmt w:val="bullet"/>
      <w:lvlText w:val=""/>
      <w:lvlJc w:val="left"/>
      <w:pPr>
        <w:ind w:left="2880" w:hanging="360"/>
      </w:pPr>
      <w:rPr>
        <w:rFonts w:ascii="Symbol" w:hAnsi="Symbol" w:hint="default"/>
      </w:rPr>
    </w:lvl>
    <w:lvl w:ilvl="4" w:tplc="04C8B15E">
      <w:start w:val="1"/>
      <w:numFmt w:val="bullet"/>
      <w:lvlText w:val="o"/>
      <w:lvlJc w:val="left"/>
      <w:pPr>
        <w:ind w:left="3600" w:hanging="360"/>
      </w:pPr>
      <w:rPr>
        <w:rFonts w:ascii="Courier New" w:hAnsi="Courier New" w:hint="default"/>
      </w:rPr>
    </w:lvl>
    <w:lvl w:ilvl="5" w:tplc="D02CAC08">
      <w:start w:val="1"/>
      <w:numFmt w:val="bullet"/>
      <w:lvlText w:val=""/>
      <w:lvlJc w:val="left"/>
      <w:pPr>
        <w:ind w:left="4320" w:hanging="360"/>
      </w:pPr>
      <w:rPr>
        <w:rFonts w:ascii="Wingdings" w:hAnsi="Wingdings" w:hint="default"/>
      </w:rPr>
    </w:lvl>
    <w:lvl w:ilvl="6" w:tplc="37A41AE2">
      <w:start w:val="1"/>
      <w:numFmt w:val="bullet"/>
      <w:lvlText w:val=""/>
      <w:lvlJc w:val="left"/>
      <w:pPr>
        <w:ind w:left="5040" w:hanging="360"/>
      </w:pPr>
      <w:rPr>
        <w:rFonts w:ascii="Symbol" w:hAnsi="Symbol" w:hint="default"/>
      </w:rPr>
    </w:lvl>
    <w:lvl w:ilvl="7" w:tplc="B204E2A4">
      <w:start w:val="1"/>
      <w:numFmt w:val="bullet"/>
      <w:lvlText w:val="o"/>
      <w:lvlJc w:val="left"/>
      <w:pPr>
        <w:ind w:left="5760" w:hanging="360"/>
      </w:pPr>
      <w:rPr>
        <w:rFonts w:ascii="Courier New" w:hAnsi="Courier New" w:hint="default"/>
      </w:rPr>
    </w:lvl>
    <w:lvl w:ilvl="8" w:tplc="4C8E6798">
      <w:start w:val="1"/>
      <w:numFmt w:val="bullet"/>
      <w:lvlText w:val=""/>
      <w:lvlJc w:val="left"/>
      <w:pPr>
        <w:ind w:left="6480" w:hanging="360"/>
      </w:pPr>
      <w:rPr>
        <w:rFonts w:ascii="Wingdings" w:hAnsi="Wingdings" w:hint="default"/>
      </w:rPr>
    </w:lvl>
  </w:abstractNum>
  <w:abstractNum w:abstractNumId="5" w15:restartNumberingAfterBreak="0">
    <w:nsid w:val="738F0841"/>
    <w:multiLevelType w:val="hybridMultilevel"/>
    <w:tmpl w:val="3A5E77D0"/>
    <w:lvl w:ilvl="0" w:tplc="E10AF870">
      <w:start w:val="1"/>
      <w:numFmt w:val="bullet"/>
      <w:lvlText w:val=""/>
      <w:lvlJc w:val="left"/>
      <w:pPr>
        <w:ind w:left="1080" w:hanging="360"/>
      </w:pPr>
      <w:rPr>
        <w:rFonts w:ascii="Symbol" w:hAnsi="Symbol" w:hint="default"/>
      </w:rPr>
    </w:lvl>
    <w:lvl w:ilvl="1" w:tplc="ABEC2202">
      <w:start w:val="1"/>
      <w:numFmt w:val="bullet"/>
      <w:lvlText w:val="o"/>
      <w:lvlJc w:val="left"/>
      <w:pPr>
        <w:ind w:left="1800" w:hanging="360"/>
      </w:pPr>
      <w:rPr>
        <w:rFonts w:ascii="Courier New" w:hAnsi="Courier New" w:hint="default"/>
      </w:rPr>
    </w:lvl>
    <w:lvl w:ilvl="2" w:tplc="09EA9A52">
      <w:start w:val="1"/>
      <w:numFmt w:val="bullet"/>
      <w:lvlText w:val=""/>
      <w:lvlJc w:val="left"/>
      <w:pPr>
        <w:ind w:left="2520" w:hanging="360"/>
      </w:pPr>
      <w:rPr>
        <w:rFonts w:ascii="Wingdings" w:hAnsi="Wingdings" w:hint="default"/>
      </w:rPr>
    </w:lvl>
    <w:lvl w:ilvl="3" w:tplc="A78647EE">
      <w:start w:val="1"/>
      <w:numFmt w:val="bullet"/>
      <w:lvlText w:val=""/>
      <w:lvlJc w:val="left"/>
      <w:pPr>
        <w:ind w:left="3240" w:hanging="360"/>
      </w:pPr>
      <w:rPr>
        <w:rFonts w:ascii="Symbol" w:hAnsi="Symbol" w:hint="default"/>
      </w:rPr>
    </w:lvl>
    <w:lvl w:ilvl="4" w:tplc="DFE044DA">
      <w:start w:val="1"/>
      <w:numFmt w:val="bullet"/>
      <w:lvlText w:val="o"/>
      <w:lvlJc w:val="left"/>
      <w:pPr>
        <w:ind w:left="3960" w:hanging="360"/>
      </w:pPr>
      <w:rPr>
        <w:rFonts w:ascii="Courier New" w:hAnsi="Courier New" w:hint="default"/>
      </w:rPr>
    </w:lvl>
    <w:lvl w:ilvl="5" w:tplc="F2E8458E">
      <w:start w:val="1"/>
      <w:numFmt w:val="bullet"/>
      <w:lvlText w:val=""/>
      <w:lvlJc w:val="left"/>
      <w:pPr>
        <w:ind w:left="4680" w:hanging="360"/>
      </w:pPr>
      <w:rPr>
        <w:rFonts w:ascii="Wingdings" w:hAnsi="Wingdings" w:hint="default"/>
      </w:rPr>
    </w:lvl>
    <w:lvl w:ilvl="6" w:tplc="CC22C4A6">
      <w:start w:val="1"/>
      <w:numFmt w:val="bullet"/>
      <w:lvlText w:val=""/>
      <w:lvlJc w:val="left"/>
      <w:pPr>
        <w:ind w:left="5400" w:hanging="360"/>
      </w:pPr>
      <w:rPr>
        <w:rFonts w:ascii="Symbol" w:hAnsi="Symbol" w:hint="default"/>
      </w:rPr>
    </w:lvl>
    <w:lvl w:ilvl="7" w:tplc="C780ED92">
      <w:start w:val="1"/>
      <w:numFmt w:val="bullet"/>
      <w:lvlText w:val="o"/>
      <w:lvlJc w:val="left"/>
      <w:pPr>
        <w:ind w:left="6120" w:hanging="360"/>
      </w:pPr>
      <w:rPr>
        <w:rFonts w:ascii="Courier New" w:hAnsi="Courier New" w:hint="default"/>
      </w:rPr>
    </w:lvl>
    <w:lvl w:ilvl="8" w:tplc="964EB86A">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C1"/>
    <w:rsid w:val="00016F79"/>
    <w:rsid w:val="0004112D"/>
    <w:rsid w:val="000827C1"/>
    <w:rsid w:val="00185D3D"/>
    <w:rsid w:val="001C66C1"/>
    <w:rsid w:val="00225388"/>
    <w:rsid w:val="006105DF"/>
    <w:rsid w:val="009503AA"/>
    <w:rsid w:val="00A04B7D"/>
    <w:rsid w:val="00C27A9C"/>
    <w:rsid w:val="00C571DA"/>
    <w:rsid w:val="00D23E15"/>
    <w:rsid w:val="00D96912"/>
    <w:rsid w:val="00F229F1"/>
    <w:rsid w:val="00FA2D29"/>
    <w:rsid w:val="00FE535C"/>
    <w:rsid w:val="00FF6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65C3"/>
  <w15:chartTrackingRefBased/>
  <w15:docId w15:val="{AE8EFF27-51FE-412D-A006-DA265F34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5D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105D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105DF"/>
  </w:style>
  <w:style w:type="character" w:customStyle="1" w:styleId="eop">
    <w:name w:val="eop"/>
    <w:basedOn w:val="DefaultParagraphFont"/>
    <w:rsid w:val="006105DF"/>
  </w:style>
  <w:style w:type="character" w:styleId="Hyperlink">
    <w:name w:val="Hyperlink"/>
    <w:basedOn w:val="DefaultParagraphFont"/>
    <w:uiPriority w:val="99"/>
    <w:unhideWhenUsed/>
    <w:rsid w:val="006105DF"/>
    <w:rPr>
      <w:color w:val="0563C1" w:themeColor="hyperlink"/>
      <w:u w:val="single"/>
    </w:rPr>
  </w:style>
  <w:style w:type="paragraph" w:styleId="ListParagraph">
    <w:name w:val="List Paragraph"/>
    <w:basedOn w:val="Normal"/>
    <w:uiPriority w:val="34"/>
    <w:qFormat/>
    <w:rsid w:val="006105DF"/>
    <w:pPr>
      <w:ind w:left="720"/>
      <w:contextualSpacing/>
    </w:pPr>
  </w:style>
  <w:style w:type="paragraph" w:styleId="Header">
    <w:name w:val="header"/>
    <w:basedOn w:val="Normal"/>
    <w:link w:val="HeaderChar"/>
    <w:uiPriority w:val="99"/>
    <w:unhideWhenUsed/>
    <w:rsid w:val="006105DF"/>
    <w:pPr>
      <w:tabs>
        <w:tab w:val="center" w:pos="4680"/>
        <w:tab w:val="right" w:pos="9360"/>
      </w:tabs>
    </w:pPr>
  </w:style>
  <w:style w:type="character" w:customStyle="1" w:styleId="HeaderChar">
    <w:name w:val="Header Char"/>
    <w:basedOn w:val="DefaultParagraphFont"/>
    <w:link w:val="Header"/>
    <w:uiPriority w:val="99"/>
    <w:rsid w:val="006105DF"/>
    <w:rPr>
      <w:sz w:val="24"/>
      <w:szCs w:val="24"/>
    </w:rPr>
  </w:style>
  <w:style w:type="paragraph" w:styleId="Footer">
    <w:name w:val="footer"/>
    <w:basedOn w:val="Normal"/>
    <w:link w:val="FooterChar"/>
    <w:uiPriority w:val="99"/>
    <w:unhideWhenUsed/>
    <w:rsid w:val="006105DF"/>
    <w:pPr>
      <w:tabs>
        <w:tab w:val="center" w:pos="4680"/>
        <w:tab w:val="right" w:pos="9360"/>
      </w:tabs>
    </w:pPr>
  </w:style>
  <w:style w:type="character" w:customStyle="1" w:styleId="FooterChar">
    <w:name w:val="Footer Char"/>
    <w:basedOn w:val="DefaultParagraphFont"/>
    <w:link w:val="Footer"/>
    <w:uiPriority w:val="99"/>
    <w:rsid w:val="006105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d.tenders@sardng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Şehri Banu Geçer</dc:creator>
  <cp:keywords/>
  <dc:description/>
  <cp:lastModifiedBy>Leme Sakkal</cp:lastModifiedBy>
  <cp:revision>7</cp:revision>
  <cp:lastPrinted>2025-05-28T12:35:00Z</cp:lastPrinted>
  <dcterms:created xsi:type="dcterms:W3CDTF">2025-05-28T11:09:00Z</dcterms:created>
  <dcterms:modified xsi:type="dcterms:W3CDTF">2025-05-28T12:36:00Z</dcterms:modified>
</cp:coreProperties>
</file>